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Arial" w:hAnsi="Arial" w:eastAsia="Times New Roman" w:cs="Arial"/>
          <w:b/>
          <w:color w:val="000000" w:themeColor="text1"/>
          <w:sz w:val="28"/>
          <w:szCs w:val="28"/>
          <w:lang w:eastAsia="pt-BR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after="0" w:line="360" w:lineRule="auto"/>
        <w:jc w:val="center"/>
        <w:rPr>
          <w:rFonts w:ascii="Arial" w:hAnsi="Arial" w:eastAsia="Times New Roman" w:cs="Arial"/>
          <w:b/>
          <w:sz w:val="28"/>
          <w:szCs w:val="28"/>
          <w:lang w:eastAsia="pt-BR"/>
        </w:rPr>
      </w:pPr>
      <w:r>
        <w:rPr>
          <w:rFonts w:ascii="Arial" w:hAnsi="Arial" w:eastAsia="Times New Roman" w:cs="Arial"/>
          <w:b/>
          <w:sz w:val="28"/>
          <w:szCs w:val="28"/>
          <w:lang w:eastAsia="pt-BR"/>
        </w:rPr>
        <w:t>TABELA DE PROGRAMAS E AÇÕES DE SAÚDE EXECUTADOS POR POLÍTICAS MUNICIPAIS E ESTADUAIS</w:t>
      </w:r>
    </w:p>
    <w:p>
      <w:pPr>
        <w:spacing w:after="0"/>
        <w:jc w:val="center"/>
        <w:rPr>
          <w:rFonts w:ascii="Arial" w:hAnsi="Arial" w:eastAsia="Times New Roman" w:cs="Arial"/>
          <w:b/>
          <w:sz w:val="32"/>
          <w:szCs w:val="32"/>
          <w:lang w:eastAsia="pt-BR"/>
        </w:rPr>
      </w:pP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4"/>
        <w:gridCol w:w="3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PROGRAMAS GOVERNAMENTAIS</w:t>
            </w:r>
          </w:p>
        </w:tc>
        <w:tc>
          <w:tcPr>
            <w:tcW w:w="3413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MEDIA ANUAL DE PÚBLICO BENEFICIADO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4" w:type="dxa"/>
            <w:vAlign w:val="center"/>
          </w:tcPr>
          <w:p>
            <w:pPr>
              <w:spacing w:after="0"/>
              <w:ind w:left="720"/>
              <w:contextualSpacing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</w:p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  <w:t>ACADEMIA DE SAÚDE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Ano de criação: 2013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Instrumento Normativo: Lei nº 8080/1990. Portaria GM/MS 1.401/2011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Local: Academia de Saúde na Praça Central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Especificação/finalidade: Atividades Físicas Supervisionadas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Rubrica Orçamentária: Manutenção da Vigilância em Saúde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Público Alvo: População em geral, ênfase a portadores de doenças crônicas como hipertensão e diabetes.</w:t>
            </w:r>
          </w:p>
        </w:tc>
        <w:tc>
          <w:tcPr>
            <w:tcW w:w="3413" w:type="dxa"/>
            <w:vAlign w:val="center"/>
          </w:tcPr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2013: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68 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  <w:t>atividades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2014: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907 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  <w:t>atividades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2015: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868 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  <w:t>atividades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2016: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1.211 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  <w:t>atividades</w:t>
            </w:r>
          </w:p>
          <w:p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2017: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1.287 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  <w:t>atividades</w:t>
            </w:r>
          </w:p>
          <w:p>
            <w:pPr>
              <w:spacing w:after="0" w:line="360" w:lineRule="auto"/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2018: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1.433 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  <w:t>atividades</w:t>
            </w:r>
          </w:p>
          <w:p>
            <w:pPr>
              <w:spacing w:after="0" w:line="360" w:lineRule="auto"/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pt-BR"/>
              </w:rPr>
              <w:t>2019: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  <w:t xml:space="preserve"> 1.093 atividades em grupo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4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ind w:left="720"/>
              <w:contextualSpacing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</w:p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  <w:t>ACUIDADE VISUAL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Ano de criação: 2008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pt-BR"/>
              </w:rPr>
              <w:t xml:space="preserve">Instrumento Normativo: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Lei nº 8080/1990. </w:t>
            </w:r>
            <w:r>
              <w:rPr>
                <w:rFonts w:ascii="Arial" w:hAnsi="Arial" w:eastAsia="Times New Roman" w:cs="Arial"/>
                <w:bCs/>
                <w:sz w:val="24"/>
                <w:szCs w:val="24"/>
                <w:lang w:eastAsia="pt-BR"/>
              </w:rPr>
              <w:t>PORTARIA Nº 3.128, DE 24 DE DEZEMBRO DE 2008.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Programa Estadual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Local: Posto de saúde Central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Especificação/finalidade: Fornecimento de armações oculares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Rubrica Orçamentária: Recurso Estadual-Doação de armações pelo Estado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Público Alvo: Pacientes com deficiência visual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</w:p>
          <w:p>
            <w:pPr>
              <w:spacing w:after="0"/>
              <w:jc w:val="both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pt-BR"/>
              </w:rPr>
              <w:t>PROJETO VISAO PERFEITA</w:t>
            </w:r>
          </w:p>
          <w:p>
            <w:pPr>
              <w:spacing w:after="0"/>
              <w:jc w:val="both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pt-BR"/>
              </w:rPr>
              <w:t>Atendimento oftalmologico de todas as crianças da rede escolar com idade entre 3 e 12 anos. Recursos do Condica. Termo de Credenciamento 01/2019</w:t>
            </w:r>
          </w:p>
          <w:p>
            <w:pPr>
              <w:spacing w:after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</w:pPr>
          </w:p>
          <w:p>
            <w:pPr>
              <w:spacing w:after="0"/>
              <w:jc w:val="both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pt-BR"/>
              </w:rPr>
              <w:t>FORNECIMENTO DE ARMAÇÕES OCULARES</w:t>
            </w:r>
          </w:p>
          <w:p>
            <w:pPr>
              <w:spacing w:after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  <w:t>Emenda Impositiva Poder Legislativo n°</w:t>
            </w:r>
          </w:p>
        </w:tc>
        <w:tc>
          <w:tcPr>
            <w:tcW w:w="3413" w:type="dxa"/>
            <w:vAlign w:val="center"/>
          </w:tcPr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2013: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35 armações oculares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2014: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26 armações oculares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2015: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31 armações oculares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2016: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33 armações oculares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2017: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32 armações oculares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2018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: 23 armações oculares</w:t>
            </w:r>
          </w:p>
          <w:p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auto"/>
                <w:sz w:val="24"/>
                <w:szCs w:val="24"/>
                <w:lang w:val="en-US" w:eastAsia="pt-BR"/>
              </w:rPr>
              <w:t>2019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  <w:t>: 18 armações oculares</w:t>
            </w:r>
          </w:p>
          <w:p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</w:pPr>
          </w:p>
          <w:p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</w:pPr>
          </w:p>
          <w:p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</w:pPr>
          </w:p>
          <w:p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pt-BR"/>
              </w:rPr>
              <w:t xml:space="preserve">2019: 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  <w:t xml:space="preserve"> estimativa de atendimento 1500 crianças</w:t>
            </w:r>
          </w:p>
          <w:p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</w:pPr>
          </w:p>
          <w:p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</w:pPr>
          </w:p>
          <w:p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  <w:t>Aquisição de 200 armações oculares para distribuição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5874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  <w:t>AGENDAMENTO DE CONSULTAS DE MEDIA E ALTA COMPLEXIDADE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Ano de criação: 2006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Instrumento Normativo: Portaria MS 399 de 22 de fevereiro de 2006 - Sistema de Regulação Estadual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Local: Posto de saúde Central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Especificação/finalidade: Agendamento de consultas e exames de média e alta complexidade pelo Sistema Único de Saúde.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Rubrica Orçamentária: SISREG (Sistema de Regulação Estadual) – Recurso Estadual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Público Alvo: População em geral, encaminhada pela rede básica para consultas e procedimentos de especialidades médicas.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413" w:type="dxa"/>
            <w:vAlign w:val="center"/>
          </w:tcPr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2013: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1.277 agendamentos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2014:   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973 agendamentos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2015: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1.068 agendamentos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2016: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1.020 agendamentos</w:t>
            </w:r>
          </w:p>
          <w:p>
            <w:pPr>
              <w:spacing w:after="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2017: 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1.580 agendamentos</w:t>
            </w:r>
          </w:p>
          <w:p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e 3.396 exames</w:t>
            </w:r>
          </w:p>
          <w:p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2018: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5.127 consultas e 4.756 exames</w:t>
            </w:r>
          </w:p>
          <w:p>
            <w:pPr>
              <w:spacing w:after="0" w:line="360" w:lineRule="auto"/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pt-BR"/>
              </w:rPr>
              <w:t>2019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  <w:t>: 1.496 consultas(dado inconclusivo--não disponibilizado pelo sistema estadual)</w:t>
            </w:r>
          </w:p>
          <w:p>
            <w:pPr>
              <w:spacing w:after="0"/>
              <w:jc w:val="center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4" w:type="dxa"/>
            <w:vAlign w:val="center"/>
          </w:tcPr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  <w:t xml:space="preserve">AGENDAMENTO DE EXAMES ESPECIALIZADOS 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Nome: COMAJA – Consórcio Intermunicipal do Alto Jacuí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Data de criação: 01/10/ 2010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Instrumento Normativo: Lei Municipal 3.803/2010. Lei nº 8080 de 19 de setembro de 1990. Contrato de Adesão.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Especificação/finalidade: Marcação e encaminhamento de exames de media e alta complexidade com financiamento municipal (Rx, Ultrassom, endoscopia, colonoscopia, tomografia, ressonância magnética, fonoaudiologia laboratoriais, etc...).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Rubrica Orçamentária: Manutenção Assistência Medica e odontológica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Público Alvo: População em geral</w:t>
            </w:r>
          </w:p>
        </w:tc>
        <w:tc>
          <w:tcPr>
            <w:tcW w:w="3413" w:type="dxa"/>
            <w:vAlign w:val="center"/>
          </w:tcPr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2013: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1.293 exames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2014: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2.776 exames 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2015: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3.271 exames 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2016: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2.563 exames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2017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: 2.378 exames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2018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: 3.051 exames</w:t>
            </w:r>
          </w:p>
          <w:p>
            <w:pPr>
              <w:spacing w:after="0"/>
              <w:jc w:val="both"/>
              <w:rPr>
                <w:rFonts w:hint="default" w:ascii="Arial" w:hAnsi="Arial" w:eastAsia="Times New Roman" w:cs="Arial"/>
                <w:b w:val="0"/>
                <w:bCs/>
                <w:sz w:val="24"/>
                <w:szCs w:val="24"/>
                <w:lang w:val="en-US" w:eastAsia="pt-BR"/>
              </w:rPr>
            </w:pPr>
            <w:r>
              <w:rPr>
                <w:rFonts w:hint="default" w:ascii="Arial" w:hAnsi="Arial" w:eastAsia="Times New Roman" w:cs="Arial"/>
                <w:b/>
                <w:sz w:val="24"/>
                <w:szCs w:val="24"/>
                <w:lang w:val="en-US" w:eastAsia="pt-BR"/>
              </w:rPr>
              <w:t xml:space="preserve">2019: </w:t>
            </w:r>
            <w:r>
              <w:rPr>
                <w:rFonts w:hint="default" w:ascii="Arial" w:hAnsi="Arial" w:eastAsia="Times New Roman" w:cs="Arial"/>
                <w:b w:val="0"/>
                <w:bCs/>
                <w:sz w:val="24"/>
                <w:szCs w:val="24"/>
                <w:lang w:val="en-US" w:eastAsia="pt-BR"/>
              </w:rPr>
              <w:t>2.619 exames</w:t>
            </w:r>
          </w:p>
          <w:p>
            <w:pPr>
              <w:spacing w:after="0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4" w:type="dxa"/>
            <w:vAlign w:val="center"/>
          </w:tcPr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  <w:t xml:space="preserve">AGENDAMENTO DE EXAMES ESPECIALIZADOS 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Nome: COMAJA – Consórcio Intermunicipal do Alto Jacuí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Data de criação: 01/10/ 2010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Instrumento Normativo: Lei Municipal 3.803/2010. Lei nº 8080 de 19 de setembro de 1990. Contrato de Adesão.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Especificação/finalidade: Marcação e encaminhamento de 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  <w:t>procedimentos, sessões e  cirurgias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de media e alta complexidade com financiamento municipal (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  <w:t>Cauterização, hidroterapia, fonoaudiologia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,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  <w:t xml:space="preserve"> cirurgia Otorrinolaringologia, Histerectomia total, Uni ou bilateral,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etc...).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Rubrica Orçamentária: Manutenção Assistência Medica e odontológica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Público Alvo: População em geral</w:t>
            </w:r>
          </w:p>
          <w:p>
            <w:pPr>
              <w:spacing w:after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  <w:t>Exames iniciados em 2019 em substituição a contratos de credenciamento.</w:t>
            </w:r>
          </w:p>
        </w:tc>
        <w:tc>
          <w:tcPr>
            <w:tcW w:w="3413" w:type="dxa"/>
            <w:vAlign w:val="center"/>
          </w:tcPr>
          <w:p>
            <w:pPr>
              <w:spacing w:after="0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</w:p>
          <w:p>
            <w:pPr>
              <w:spacing w:after="0"/>
              <w:rPr>
                <w:rFonts w:hint="default" w:ascii="Arial" w:hAnsi="Arial" w:eastAsia="Times New Roman" w:cs="Arial"/>
                <w:b/>
                <w:sz w:val="24"/>
                <w:szCs w:val="24"/>
                <w:lang w:val="en-US" w:eastAsia="pt-BR"/>
              </w:rPr>
            </w:pPr>
            <w:r>
              <w:rPr>
                <w:rFonts w:hint="default" w:ascii="Arial" w:hAnsi="Arial" w:eastAsia="Times New Roman" w:cs="Arial"/>
                <w:b/>
                <w:sz w:val="24"/>
                <w:szCs w:val="24"/>
                <w:lang w:val="en-US" w:eastAsia="pt-BR"/>
              </w:rPr>
              <w:t xml:space="preserve">2019: </w:t>
            </w:r>
            <w:r>
              <w:rPr>
                <w:rFonts w:hint="default" w:ascii="Arial" w:hAnsi="Arial" w:eastAsia="Times New Roman" w:cs="Arial"/>
                <w:b w:val="0"/>
                <w:bCs/>
                <w:sz w:val="24"/>
                <w:szCs w:val="24"/>
                <w:lang w:val="en-US" w:eastAsia="pt-BR"/>
              </w:rPr>
              <w:t>8 procedimentos, 158 sessões de Hidroterapia, 1.137 sessões de fonoaudiologia, 41 cirurgias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4" w:type="dxa"/>
            <w:vAlign w:val="center"/>
          </w:tcPr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</w:p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  <w:t>AGENDAMENTO DE CONSULTAS DE ESPECIALIDADES CO-FINANCIADAS</w:t>
            </w:r>
          </w:p>
          <w:p>
            <w:pPr>
              <w:spacing w:after="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Nome: COMAJA – Consórcio Intermunicipal do Alto Jacuí</w:t>
            </w:r>
          </w:p>
          <w:p>
            <w:pPr>
              <w:spacing w:after="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Data de criação: 01/10/ 2010</w:t>
            </w:r>
          </w:p>
          <w:p>
            <w:pPr>
              <w:spacing w:after="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Instrumento Normativo: Lei Municipal nº 3.803/2010. Lei nº 8080 de 19 de setembro de 1990. Contrato de Adesão.</w:t>
            </w:r>
          </w:p>
          <w:p>
            <w:pPr>
              <w:spacing w:after="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Especificação/finalidade: Marcação de consultas em especialidades não supridas pelo Estado/União (psiquiatria/urologia/neurologia/reumatologia/etc...).</w:t>
            </w:r>
          </w:p>
          <w:p>
            <w:pPr>
              <w:spacing w:after="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Rubrica Orçamentária: Manutenção da Assistência Médica e odontológica</w:t>
            </w:r>
          </w:p>
          <w:p>
            <w:pPr>
              <w:spacing w:after="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Público Alvo: População em geral.</w:t>
            </w:r>
          </w:p>
          <w:p>
            <w:pPr>
              <w:spacing w:after="0"/>
              <w:ind w:left="720"/>
              <w:contextualSpacing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413" w:type="dxa"/>
            <w:vAlign w:val="center"/>
          </w:tcPr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2013: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374 consultas  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2014: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447 consultas 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2015: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449 consultas  </w:t>
            </w:r>
          </w:p>
          <w:p>
            <w:pPr>
              <w:spacing w:after="0" w:line="360" w:lineRule="auto"/>
              <w:ind w:left="9"/>
              <w:contextualSpacing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2016: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426 consultas  </w:t>
            </w:r>
          </w:p>
          <w:p>
            <w:pPr>
              <w:spacing w:after="0" w:line="360" w:lineRule="auto"/>
              <w:ind w:left="9"/>
              <w:contextualSpacing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2017: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534 consultas</w:t>
            </w:r>
          </w:p>
          <w:p>
            <w:pPr>
              <w:spacing w:after="0" w:line="360" w:lineRule="auto"/>
              <w:ind w:left="9"/>
              <w:contextualSpacing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2018: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613 consultas</w:t>
            </w:r>
          </w:p>
          <w:p>
            <w:pPr>
              <w:spacing w:after="0" w:line="360" w:lineRule="auto"/>
              <w:ind w:left="9"/>
              <w:contextualSpacing/>
              <w:jc w:val="both"/>
              <w:rPr>
                <w:rFonts w:hint="default" w:ascii="Arial" w:hAnsi="Arial" w:eastAsia="Times New Roman" w:cs="Arial"/>
                <w:b w:val="0"/>
                <w:bCs w:val="0"/>
                <w:sz w:val="24"/>
                <w:szCs w:val="24"/>
                <w:lang w:val="en-US" w:eastAsia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pt-BR"/>
              </w:rPr>
              <w:t>2019:</w:t>
            </w:r>
            <w:r>
              <w:rPr>
                <w:rFonts w:hint="default" w:ascii="Arial" w:hAnsi="Arial" w:eastAsia="Times New Roman" w:cs="Arial"/>
                <w:b w:val="0"/>
                <w:bCs w:val="0"/>
                <w:sz w:val="24"/>
                <w:szCs w:val="24"/>
                <w:lang w:val="en-US" w:eastAsia="pt-BR"/>
              </w:rPr>
              <w:t xml:space="preserve"> 775 consultas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4" w:type="dxa"/>
            <w:vAlign w:val="center"/>
          </w:tcPr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  <w:t>AGENDAMENTO DE CONSULTAS E EXAMES DE MEDIA COMPLEXIDADE</w:t>
            </w:r>
            <w:r>
              <w:rPr>
                <w:rFonts w:hint="default" w:ascii="Arial" w:hAnsi="Arial" w:eastAsia="Times New Roman" w:cs="Arial"/>
                <w:b/>
                <w:sz w:val="24"/>
                <w:szCs w:val="24"/>
                <w:u w:val="single"/>
                <w:lang w:val="en-US" w:eastAsia="pt-BR"/>
              </w:rPr>
              <w:t xml:space="preserve"> -referência Carazinho</w:t>
            </w:r>
            <w:r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  <w:t>.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Ano de criação: 2001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Instrumento Normativo: Lei n 8080/1990. Portaria MS 399 de 22 de fevereiro de 2006- Sistema de Regulação Municipal de Carazinho.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Local: Posto de saúde Central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Especificação/finalidade: Agendamento de consultas e exames especializados pelo Sistema Único de Saúde regulados pelo município de Carazinho/RS.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Rubrica Orçamentária: Gestão Plena Municipal de Carazinho.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Público Alvo: População em geral, encaminhada pela rede básica para consultas em especialidades médicas e exames especializados, em média e alta complexidade.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413" w:type="dxa"/>
            <w:vAlign w:val="center"/>
          </w:tcPr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2013: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189 consultas e 323 exames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2014: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150 consultas e 221 exames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2015: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186 consultas e 49 exames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2016: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205 consultas e 254 exames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2017: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726 consultas e 308 exames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2018: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106 consultas e 346 exames</w:t>
            </w:r>
          </w:p>
          <w:p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pt-BR"/>
              </w:rPr>
              <w:t>2019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  <w:t>: 92 consultas e 3.429 exames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4" w:type="dxa"/>
            <w:vAlign w:val="center"/>
          </w:tcPr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</w:p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  <w:t>ASSISTÊNCIA FARMACÊUTICA BÁSICA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Ano de criação: 1998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Instrumento Normativo: Lei nº 8080 /1990. Programa Federal/Estadual/Municipal, RENAME - PORTARIA MS/GM Nº 1, DE 2 DE JANEIRO DE 2015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Local: Farmácia Central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Especificação/finalidade: Dispensação de medicamentos do componente básico.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Rubrica Orçamentária: Manutenção da Assistência Farmacêutica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Público Alvo: Pacientes com prescrição medica de fármacos da Lista de Componente Básico da RENAME.</w:t>
            </w:r>
          </w:p>
        </w:tc>
        <w:tc>
          <w:tcPr>
            <w:tcW w:w="3413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</w:p>
          <w:p>
            <w:pPr>
              <w:spacing w:after="0"/>
              <w:jc w:val="center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2013: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58.186 atendimentos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2014: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62.651 atendimentos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2015: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59.236 atendimentos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2016: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60.701 atendimentos</w:t>
            </w:r>
          </w:p>
          <w:p>
            <w:pPr>
              <w:spacing w:after="0" w:line="360" w:lineRule="auto"/>
              <w:contextualSpacing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2017: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55.343 atendimentos</w:t>
            </w:r>
          </w:p>
          <w:p>
            <w:pPr>
              <w:spacing w:after="0" w:line="360" w:lineRule="auto"/>
              <w:contextualSpacing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2018: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53.874 atendimentos</w:t>
            </w:r>
          </w:p>
          <w:p>
            <w:pPr>
              <w:spacing w:after="0" w:line="360" w:lineRule="auto"/>
              <w:contextualSpacing/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pt-BR"/>
              </w:rPr>
              <w:t>2019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  <w:t>: 53.140 atendimentos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4" w:type="dxa"/>
            <w:vAlign w:val="center"/>
          </w:tcPr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</w:p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  <w:t>ASSISTÊNCIA FARMACÊUTICA ESPECIAL – DISPENSAÇÃO E PROCESSOS ADMINISTRATIVOS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Ano de criação: 2005 a 2008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Instrumento Normativo: Lei nº 8080/1990.</w:t>
            </w: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Portaria nº 399/GM – 22/02/2006; Portaria 2577/GM – 2006 e Portaria 2981-26/11/2009; Resolução CIB 143/2013; PORTARIA MS/GM Nº 1, DE 2 DE JANEIRO DE 2015. RENAME - PORTARIA MS/GM Nº 1, DE 2 DE JANEIRO DE 2015.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Local: Posto de Saúde Central/ Farmácia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Especificação/finalidade: Dispensação de medicamentos especiais fornecidos pelo Estado do RS, através do recebimento de Processos Administrativos.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Rubrica Orçamentária: Recurso Estadual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Público Alvo: Pacientes com prescrição de medicamentos da Lista Especializada da RENAME.</w:t>
            </w:r>
          </w:p>
        </w:tc>
        <w:tc>
          <w:tcPr>
            <w:tcW w:w="3413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2013: não havia registro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2014: não havia registro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2015: não havia registro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2016: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15.360 atendimentos.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2017: 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13.692 atendimentos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2018: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13.932 atendimentos</w:t>
            </w:r>
          </w:p>
          <w:p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pt-BR"/>
              </w:rPr>
              <w:t>2019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  <w:t>: 14.132 atendimentos</w:t>
            </w:r>
          </w:p>
          <w:p>
            <w:pPr>
              <w:spacing w:after="0" w:line="360" w:lineRule="auto"/>
              <w:jc w:val="center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</w:p>
          <w:p>
            <w:pPr>
              <w:spacing w:after="0"/>
              <w:jc w:val="center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</w:p>
          <w:p>
            <w:pPr>
              <w:spacing w:after="0"/>
              <w:jc w:val="center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4" w:type="dxa"/>
            <w:vAlign w:val="center"/>
          </w:tcPr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</w:p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  <w:t>CONTROLE DE DIABETES MELLITUS E HIPERTENSÃO ARTERIAL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Ano de criação: 2002</w:t>
            </w:r>
          </w:p>
          <w:p>
            <w:pPr>
              <w:keepNext/>
              <w:spacing w:after="0"/>
              <w:outlineLvl w:val="0"/>
              <w:rPr>
                <w:rFonts w:ascii="Arial" w:hAnsi="Arial" w:eastAsia="Times New Roman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pt-BR"/>
              </w:rPr>
              <w:t>Instrumento Normativo: Lei nº 8080/1990. Programa Federal- Portaria nº 371, DE 04 de março de 2002.</w:t>
            </w:r>
          </w:p>
          <w:p>
            <w:pPr>
              <w:keepNext/>
              <w:spacing w:after="0"/>
              <w:outlineLvl w:val="0"/>
              <w:rPr>
                <w:rFonts w:ascii="Arial" w:hAnsi="Arial" w:eastAsia="Times New Roman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pt-BR"/>
              </w:rPr>
              <w:t>Local: Todas as Unidades Básicas de Saúde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Especificação/finalidade: Orientação e acompanhamento de pacientes crônicos.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Rubrica Orçamentária: Manutenção da Assistência Médica e Manutenção da Assistência Farmacêutica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Público Alvo: Pacientes crônicos com Diabetes Mellitus e Hipertensão Arterial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3413" w:type="dxa"/>
            <w:vAlign w:val="center"/>
          </w:tcPr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2013: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2.147 testes de Diabetes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         26.326 aferições de Pressão Arterial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2014: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1.333 testes de Diabetes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          16.717 aferições de Pressão Arterial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2015: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2.649 testes de Diabetes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          27.210 aferições de Pressão Arterial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2016: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2.648</w:t>
            </w: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testes de Diabetes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           29.948 aferições de Pressão Arterial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2017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: 2.723 testes de Diabetes e 28.271 aferições de Pressão Arterial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2018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: 3.248 testes de Diabetes e 25.239 aferições de pressão</w:t>
            </w:r>
          </w:p>
          <w:p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pt-BR"/>
              </w:rPr>
              <w:t>2019: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  <w:t xml:space="preserve"> 3.280 testes de Diabetes e 27.449 aferições de pressão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4" w:type="dxa"/>
            <w:vAlign w:val="center"/>
          </w:tcPr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</w:p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  <w:t>CONTROLE DA HANSENÍASE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Ano de criação: 2010.</w:t>
            </w:r>
          </w:p>
          <w:p>
            <w:pPr>
              <w:keepNext/>
              <w:spacing w:after="0"/>
              <w:outlineLvl w:val="0"/>
              <w:rPr>
                <w:rFonts w:ascii="Arial" w:hAnsi="Arial" w:eastAsia="Times New Roman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pt-BR"/>
              </w:rPr>
              <w:t>Instrumento Normativo: Lei nº 8080/1990. Programa Federal- PORTARIA Nº 3.125, DE 07 DE OUTUBRO DE 2010.</w:t>
            </w:r>
          </w:p>
          <w:p>
            <w:pPr>
              <w:spacing w:after="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Local: Posto de Saúde Central</w:t>
            </w:r>
          </w:p>
          <w:p>
            <w:pPr>
              <w:spacing w:after="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Especificação/finalidade: Tratamento e controle da Hanseníase</w:t>
            </w:r>
          </w:p>
          <w:p>
            <w:pPr>
              <w:spacing w:after="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Rubrica Orçamentária: Manutenção da Assistência Médica</w:t>
            </w:r>
          </w:p>
          <w:p>
            <w:pPr>
              <w:spacing w:after="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Público Alvo: Pacientes com Hanseníase</w:t>
            </w:r>
          </w:p>
          <w:p>
            <w:pPr>
              <w:spacing w:after="0"/>
              <w:ind w:left="360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413" w:type="dxa"/>
            <w:vAlign w:val="center"/>
          </w:tcPr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2013: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01 paciente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2014: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Não houve caso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2015: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Não houve caso</w:t>
            </w:r>
          </w:p>
          <w:p>
            <w:pPr>
              <w:numPr>
                <w:ilvl w:val="0"/>
                <w:numId w:val="1"/>
              </w:numPr>
              <w:spacing w:after="0" w:line="360" w:lineRule="auto"/>
              <w:ind w:left="606"/>
              <w:contextualSpacing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: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Não houve caso</w:t>
            </w: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 </w:t>
            </w:r>
          </w:p>
          <w:p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2017: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Não houve caso</w:t>
            </w:r>
          </w:p>
          <w:p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2018: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02 casos</w:t>
            </w:r>
          </w:p>
          <w:p>
            <w:pPr>
              <w:spacing w:after="0" w:line="360" w:lineRule="auto"/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pt-BR"/>
              </w:rPr>
              <w:t>2019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  <w:t>: Não houve casos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4" w:type="dxa"/>
            <w:vAlign w:val="center"/>
          </w:tcPr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</w:p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  <w:t>CONTROLE DA QUALIDADE DA ÁGUA PARA CONSUMO HUMANO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Ano de criação: 2004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Instrumento Normativo: Lei nº 8080/1990. Portaria nº 518/04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Local: Posto de saúde Central – Setor de Vigilância Sanitária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Especificação/finalidade: Controle de qualidade da água para consumo humano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Rubrica Orçamentária: Manutenção da Vigilância Sanitária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População Alvo: População urbana e rural com sistemas de abastecimento de água para consumo humano.</w:t>
            </w:r>
          </w:p>
          <w:p>
            <w:pPr>
              <w:spacing w:after="0"/>
              <w:ind w:left="360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413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2013: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99 coletas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2014: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99 coletas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2015: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216 coletas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2016: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105 coletas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2017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: 222 coletas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2018: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120 coletas</w:t>
            </w:r>
          </w:p>
          <w:p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pt-BR"/>
              </w:rPr>
              <w:t>2019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  <w:t>: 120 coletas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4" w:type="dxa"/>
            <w:vAlign w:val="center"/>
          </w:tcPr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</w:p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  <w:t>ESTRATÉGIA DE AGENTES COMUNITÁRIOS DE SAÚDE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Ano de criação: 1998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Instrumento Normativo: Lei nº 8080/1990.</w:t>
            </w: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PORTARIA Nº 2.488, DE 21 DE OUTUBRO DE 2011.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Local: Todas as Unidades Básicas de Saúde, com a visita a domicílio. 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Especificação/finalidade: Visitas domiciliares – acompanhamento e busca ativa de gestantes e em especial de doentes crônicos e em situação de vulnerabilidade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Rubrica Orçamentária: Manutenção da Assistência Médica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Público Alvo: População urbana, distrito de São Jose do Centro e Assentamento Libertação Camponesa.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3413" w:type="dxa"/>
            <w:vAlign w:val="center"/>
          </w:tcPr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2013: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23.495 visitas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2014: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26.576 visitas (**)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2015: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36.736 visitas (**)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2016: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39.837 visitas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2017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: 43.304 visitas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2018: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55.904 visitas</w:t>
            </w:r>
          </w:p>
          <w:p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pt-BR"/>
              </w:rPr>
              <w:t>2019: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  <w:t xml:space="preserve"> 54.591 visitas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4" w:type="dxa"/>
            <w:vAlign w:val="center"/>
          </w:tcPr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</w:p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</w:p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</w:p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</w:p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  <w:t>FORNECIMENTO DE FRALDAS PARA DEFICIENTES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Ano de criação: 2014</w:t>
            </w:r>
          </w:p>
          <w:p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Instrumento Normativo: Lei nº 8080/1990.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Portaria GM/MS nº 793, 24/04/2012, Resolução CIB 070/14 de 17 de fevereiro de 2014. Programa Estadual – Gerenciamento de Usuários com Deficiência – GUD.</w:t>
            </w:r>
          </w:p>
          <w:p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Local: Posto de Saúde Central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Especificação/finalidade: Fornecimento de fraldas para pessoas com deficiência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Rubrica Orçamentária: Manutenção da Assistência Farmacêutica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Público Alvo: Pacientes com deficiências que necessitam uso contínuo de fraldas.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3413" w:type="dxa"/>
            <w:vAlign w:val="center"/>
          </w:tcPr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2013: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Não existia o programa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2014: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48 pacientes atendidos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2015: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74 pacientes atendidos</w:t>
            </w:r>
          </w:p>
          <w:p>
            <w:pPr>
              <w:spacing w:after="0" w:line="360" w:lineRule="auto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2016: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78 pacientes atendidos</w:t>
            </w:r>
          </w:p>
          <w:p>
            <w:pPr>
              <w:spacing w:after="0" w:line="360" w:lineRule="auto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2017: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107 </w:t>
            </w:r>
            <w:r>
              <w:rPr>
                <w:rFonts w:ascii="Arial" w:hAnsi="Arial" w:eastAsia="Times New Roman" w:cs="Arial"/>
                <w:lang w:eastAsia="pt-BR"/>
              </w:rPr>
              <w:t>pacientes atendidos</w:t>
            </w:r>
          </w:p>
          <w:p>
            <w:pPr>
              <w:spacing w:after="0" w:line="360" w:lineRule="auto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2018: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100 </w:t>
            </w:r>
            <w:r>
              <w:rPr>
                <w:rFonts w:ascii="Arial" w:hAnsi="Arial" w:eastAsia="Times New Roman" w:cs="Arial"/>
                <w:lang w:eastAsia="pt-BR"/>
              </w:rPr>
              <w:t>pacientes atendidos</w:t>
            </w:r>
          </w:p>
          <w:p>
            <w:pPr>
              <w:spacing w:after="0" w:line="360" w:lineRule="auto"/>
              <w:rPr>
                <w:rFonts w:hint="default" w:ascii="Arial" w:hAnsi="Arial" w:eastAsia="Times New Roman" w:cs="Arial"/>
                <w:lang w:val="en-US" w:eastAsia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lang w:val="en-US" w:eastAsia="pt-BR"/>
              </w:rPr>
              <w:t>2019:</w:t>
            </w:r>
            <w:r>
              <w:rPr>
                <w:rFonts w:hint="default" w:ascii="Arial" w:hAnsi="Arial" w:eastAsia="Times New Roman" w:cs="Arial"/>
                <w:lang w:val="en-US" w:eastAsia="pt-BR"/>
              </w:rPr>
              <w:t xml:space="preserve"> 76 pacientes atendidos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4" w:type="dxa"/>
            <w:vAlign w:val="center"/>
          </w:tcPr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</w:p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  <w:t>PREVENÇÃO E CONTROLE DA TUBERCULOSE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Ano de criação: 1998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Instrumento Normativo: Lei nº 8080/1990.</w:t>
            </w: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Programa Federal-Portaria GM MS nº 3.125 de 07 de outubro de 2010.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Local: Posto de Saúde Central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Especificação/finalidade: Controle e tratamento de pacientes com tuberculose.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Rubrica Orçamentária: Manutenção da Assistência Médica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Público Alvo: Pacientes com tuberculose.</w:t>
            </w:r>
          </w:p>
          <w:p>
            <w:pPr>
              <w:spacing w:after="0"/>
              <w:ind w:left="360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413" w:type="dxa"/>
            <w:vAlign w:val="center"/>
          </w:tcPr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2013: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04 pacientes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2014: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05 pacientes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2015: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06 pacientes</w:t>
            </w:r>
          </w:p>
          <w:p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2016: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01 paciente</w:t>
            </w:r>
          </w:p>
          <w:p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2017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: 04 pacientes</w:t>
            </w:r>
          </w:p>
          <w:p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2018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: 02 pacientes</w:t>
            </w:r>
          </w:p>
          <w:p>
            <w:pPr>
              <w:spacing w:after="0" w:line="360" w:lineRule="auto"/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pt-BR"/>
              </w:rPr>
              <w:t>2019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  <w:t>: 05 pacientes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4" w:type="dxa"/>
            <w:vAlign w:val="center"/>
          </w:tcPr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  <w:t>PROGRAMA DE ACUIDADE AUDITIVA E PRÓTESES FÍSICAS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Ano de criação: 2005.</w:t>
            </w:r>
          </w:p>
          <w:p>
            <w:pPr>
              <w:autoSpaceDE w:val="0"/>
              <w:autoSpaceDN w:val="0"/>
              <w:adjustRightInd w:val="0"/>
              <w:spacing w:after="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Instrumento Normativo: Lei nº 8080/1990.</w:t>
            </w: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Portaria GM/MS nº 2.073, de 28 de setembro de 2004.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Local: Posto de Saúde Central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Especificação/finalidade: Fornecimento de aparelho auditivo, próteses e órteses físicas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Rubrica Orçamentária: Recurso Estadual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Público Alvo: Pacientes com deficiências que necessitam próteses e órteses.</w:t>
            </w:r>
          </w:p>
        </w:tc>
        <w:tc>
          <w:tcPr>
            <w:tcW w:w="3413" w:type="dxa"/>
            <w:vAlign w:val="center"/>
          </w:tcPr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2013: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23 próteses auditivas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          05 próteses físicas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2014: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12 próteses auditivas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          05 próteses físicas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2015: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12 próteses auditivas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           05 próteses físicas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2016: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16 auditivas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           11 próteses físicas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2017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: 26 auditivas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           33 próteses físicas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2018: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26 auditivas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         49 físicas</w:t>
            </w:r>
          </w:p>
          <w:p>
            <w:pPr>
              <w:spacing w:after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pt-BR"/>
              </w:rPr>
              <w:t>2019: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  <w:t xml:space="preserve"> 27 auditivas e 41 físicas</w:t>
            </w:r>
          </w:p>
          <w:p>
            <w:pPr>
              <w:spacing w:after="0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4" w:type="dxa"/>
            <w:vAlign w:val="center"/>
          </w:tcPr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  <w:t>PROGRAMA DE CONTROLE DA HEPATITE VIRAL (B e C) e HIV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Ano de criação: 1985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Instrumento Normativo: Lei nº 8080/1990.</w:t>
            </w: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Portarias GM/MS 3.176/2013, 29/2013, 27/2013, 77/2012 e 221/2011.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Local: Posto de Saúde Central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Especificação/finalidade: Exames/testagem/acompanhamento para hepatites e HIV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Rubrica Orçamentária: Manutenção da Assistência Médica e Odontológica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Público Alvo: população em geral</w:t>
            </w:r>
          </w:p>
        </w:tc>
        <w:tc>
          <w:tcPr>
            <w:tcW w:w="3413" w:type="dxa"/>
            <w:vAlign w:val="center"/>
          </w:tcPr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2013: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318 exames Anti HCV; 309 exames HIV; 390 exames de Hepatite B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2014: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249 exames Anti HCV; 309 exames HIV; 8 exames de Hepatite B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2015: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432 exames Anti HCV; 324 exames HIV; 8 exames Hepatite B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2016: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315 exames Anti HCV; 327 exames HIV; 441 exames Hepatite B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2017: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217 exames Anti HCV; 289 exames HIV; 307 exames Hepatite B.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2018: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272 exames Anti HCV; 417 HIV e 347 Hepatite B</w:t>
            </w:r>
          </w:p>
          <w:p>
            <w:pPr>
              <w:spacing w:after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pt-BR"/>
              </w:rPr>
              <w:t>2019: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  <w:t xml:space="preserve"> 361 anti HCV; 422 HIV e 484 Hepatite B.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4" w:type="dxa"/>
            <w:vAlign w:val="center"/>
          </w:tcPr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</w:p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  <w:t>PROGRAMA DE FORNECIMENTO (empréstimo) DE CADEIRAS DE RODAS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Ano de criação: 2005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Instrumento Normativo: Lei nº 8080/1990.</w:t>
            </w: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Lei Estadual nº 13.320, de 21 de dezembro de 2009.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Local: Posto de Saúde Central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Especificação/finalidade: Empréstimo de cadeiras de rodas de passeio e banho para deficientes.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Rubrica Orçamentária: Recurso Estadual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Público Alvo: Pessoas que necessita de cadeiras de rodas para locomoção e banho.</w:t>
            </w:r>
          </w:p>
        </w:tc>
        <w:tc>
          <w:tcPr>
            <w:tcW w:w="3413" w:type="dxa"/>
            <w:vAlign w:val="center"/>
          </w:tcPr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2013: não há dados registrados.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2014: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19 cadeiras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2015: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08 cadeiras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2016: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04 cadeiras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2017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: 15 cadeiras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2018: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16 cadeiras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pt-BR"/>
              </w:rPr>
              <w:t>2019: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  <w:t xml:space="preserve"> 10 cadeiras </w:t>
            </w:r>
          </w:p>
          <w:p>
            <w:pPr>
              <w:spacing w:after="0"/>
              <w:jc w:val="center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4" w:type="dxa"/>
            <w:vAlign w:val="center"/>
          </w:tcPr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  <w:t>PROGRAMA DE REEDUCAÇÃO ALIMENTAR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Ano de criação: 2005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Instrumento Normativo: não consta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Local: Unidade de Saúde de Apoio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Especificação/finalidade: Grupos para orientação de reeducação alimentar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Rubrica Orçamentária: Manutenção da Assistência Médica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Público Alvo: População em geral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413" w:type="dxa"/>
            <w:vAlign w:val="center"/>
          </w:tcPr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2013: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04 grupos/20 participantes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  <w:t xml:space="preserve"> cada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em media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2014: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04 grupos/20 participantes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  <w:t xml:space="preserve"> cada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em media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2015: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04 grupos/20 participantes 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  <w:t xml:space="preserve">cada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em media 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2016: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01 grupo/15 participantes 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  <w:t>cada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em media </w:t>
            </w: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(*)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2017: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03 grupos</w:t>
            </w: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/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12</w:t>
            </w: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participantes 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  <w:t>cada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em média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2018: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03 grupos c/ 17 participantes em média</w:t>
            </w:r>
          </w:p>
          <w:p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pt-BR"/>
              </w:rPr>
              <w:t>2019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  <w:t>: 03 grupos c/ 18 participantes em média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4" w:type="dxa"/>
            <w:vAlign w:val="center"/>
          </w:tcPr>
          <w:p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  <w:t>PROGRAMA DE SAÚDE BUCAL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Ano de criação: 1989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Instrumento Normativo: Lei nº 8080/1990.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Local: Unidades Básicas de Saúde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Especificação/finalidade: Prevenção e tratamento em saúde bucal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Rubrica Orçamentária: Manutenção da Assistência Médica e odontológica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Público Alvo: População em geral com ênfase ao atendimento infantil.</w:t>
            </w:r>
          </w:p>
        </w:tc>
        <w:tc>
          <w:tcPr>
            <w:tcW w:w="3413" w:type="dxa"/>
            <w:vAlign w:val="center"/>
          </w:tcPr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2013: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5.882 atendimentos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2014: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4.948 atendimentos (**)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2015: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5.315 atendimentos (**)</w:t>
            </w:r>
          </w:p>
          <w:p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2016: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7.343 atendimentos</w:t>
            </w:r>
          </w:p>
          <w:p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2017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: 18.654 atendimentos</w:t>
            </w:r>
          </w:p>
          <w:p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2018: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20.116 atendimentos</w:t>
            </w:r>
          </w:p>
          <w:p>
            <w:pPr>
              <w:spacing w:after="0" w:line="360" w:lineRule="auto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pt-BR"/>
              </w:rPr>
              <w:t xml:space="preserve">2019: </w:t>
            </w:r>
            <w:r>
              <w:rPr>
                <w:rFonts w:hint="default" w:ascii="Arial" w:hAnsi="Arial" w:eastAsia="Times New Roman" w:cs="Arial"/>
                <w:b w:val="0"/>
                <w:bCs w:val="0"/>
                <w:sz w:val="24"/>
                <w:szCs w:val="24"/>
                <w:lang w:val="en-US" w:eastAsia="pt-BR"/>
              </w:rPr>
              <w:t>18.533 atendimentos</w:t>
            </w:r>
          </w:p>
          <w:p>
            <w:pPr>
              <w:spacing w:after="0"/>
              <w:jc w:val="center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4" w:type="dxa"/>
            <w:vAlign w:val="center"/>
          </w:tcPr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</w:p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  <w:t>PROGRAMA PARA USUÁRIOS DE SUBSTÂNCIAS PSICOATIVAS (DROGAS) E FAMILIARES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Ano de criação: 2007</w:t>
            </w:r>
          </w:p>
          <w:p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Instrumento Normativo: Lei nº 8080/1990.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Lei Estadual nº 9.716/92, Portaria SAS/MS nº 3.088, de 23 de dezembro de 2011. Lei nº 10.216, de 06 de abril de 2001.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Local: Posto de Saúde Central e Centro de Apoio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Especificação/finalidade: Tratamento da dependência química/apoio a usuários de substâncias psicoativas e a familiares de dependentes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Rubrica Orçamentária: Manutenção do Programa de Saúde Mental e Combate às drogas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Público Alvo: Usuários de drogas e familiares de dependentes.</w:t>
            </w:r>
          </w:p>
        </w:tc>
        <w:tc>
          <w:tcPr>
            <w:tcW w:w="3413" w:type="dxa"/>
            <w:vAlign w:val="center"/>
          </w:tcPr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2013: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216 atendimentos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2014: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264 atendimentos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2015: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240 atendimentos</w:t>
            </w:r>
          </w:p>
          <w:p>
            <w:pPr>
              <w:spacing w:after="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2016: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246 atendimentos</w:t>
            </w:r>
          </w:p>
          <w:p>
            <w:pPr>
              <w:spacing w:after="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             435 pessoas em grupos</w:t>
            </w:r>
          </w:p>
          <w:p>
            <w:pPr>
              <w:spacing w:after="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           59 internações</w:t>
            </w:r>
          </w:p>
          <w:p>
            <w:pPr>
              <w:spacing w:after="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2017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: 236 atendimentos</w:t>
            </w:r>
          </w:p>
          <w:p>
            <w:pPr>
              <w:spacing w:after="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</w:p>
          <w:p>
            <w:pPr>
              <w:spacing w:after="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         323 pessoas em grupos</w:t>
            </w:r>
          </w:p>
          <w:p>
            <w:pPr>
              <w:spacing w:after="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          63 internações</w:t>
            </w:r>
          </w:p>
          <w:p>
            <w:pPr>
              <w:spacing w:after="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2018: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383 atendimentos </w:t>
            </w:r>
          </w:p>
          <w:p>
            <w:pPr>
              <w:spacing w:after="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         232 pessoas em       grupos</w:t>
            </w:r>
          </w:p>
          <w:p>
            <w:pPr>
              <w:spacing w:after="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          50 internações</w:t>
            </w:r>
          </w:p>
          <w:p>
            <w:pPr>
              <w:spacing w:after="0"/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pt-BR"/>
              </w:rPr>
              <w:t>2019: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  <w:t xml:space="preserve"> 678 atendimentos</w:t>
            </w:r>
          </w:p>
          <w:p>
            <w:pPr>
              <w:spacing w:after="0"/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  <w:t xml:space="preserve">          48 grupos c/ 264 pessoas atendidas </w:t>
            </w:r>
          </w:p>
          <w:p>
            <w:pPr>
              <w:spacing w:after="0"/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  <w:t xml:space="preserve">          47 internações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4" w:type="dxa"/>
            <w:vAlign w:val="center"/>
          </w:tcPr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</w:p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  <w:t>REALIZAÇÃO DE EXAMES LABORATORIAIS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Ano de criação: 2004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Instrumento Normativo:</w:t>
            </w: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Lei nº 8080/1990.</w:t>
            </w: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hAnsi="Arial" w:eastAsia="Times New Roman" w:cs="Arial"/>
                <w:bCs/>
                <w:sz w:val="24"/>
                <w:szCs w:val="24"/>
                <w:lang w:eastAsia="pt-BR"/>
              </w:rPr>
              <w:t>PORTARIA GM/MS Nº 2031, de 23 de setembro de 2004.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Local: Laboratório Público Municipal na Unidade de Apoio.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Especificação/finalidade: Agendamento e realização de exames laboratoriais de diagnóstico.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Rubrica Orçamentária: Manutenção da Assistência Médica e Odontológica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Público Alvo: População em geral</w:t>
            </w:r>
          </w:p>
        </w:tc>
        <w:tc>
          <w:tcPr>
            <w:tcW w:w="3413" w:type="dxa"/>
            <w:vAlign w:val="center"/>
          </w:tcPr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2013: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30.008 exames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2014: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36.098 exames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2015: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26.146 exames (**)</w:t>
            </w:r>
          </w:p>
          <w:p>
            <w:pPr>
              <w:spacing w:after="0" w:line="360" w:lineRule="auto"/>
              <w:ind w:left="39"/>
              <w:contextualSpacing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2016: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28.942 exames</w:t>
            </w:r>
          </w:p>
          <w:p>
            <w:pPr>
              <w:spacing w:after="0" w:line="360" w:lineRule="auto"/>
              <w:ind w:left="39"/>
              <w:contextualSpacing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2017: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33.093 exames</w:t>
            </w:r>
          </w:p>
          <w:p>
            <w:pPr>
              <w:spacing w:after="0" w:line="360" w:lineRule="auto"/>
              <w:ind w:left="39"/>
              <w:contextualSpacing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2018: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37.392 exames</w:t>
            </w:r>
          </w:p>
          <w:p>
            <w:pPr>
              <w:spacing w:after="0" w:line="360" w:lineRule="auto"/>
              <w:jc w:val="left"/>
              <w:rPr>
                <w:rFonts w:hint="default" w:ascii="Arial" w:hAnsi="Arial" w:eastAsia="Times New Roman" w:cs="Arial"/>
                <w:b w:val="0"/>
                <w:bCs/>
                <w:sz w:val="24"/>
                <w:szCs w:val="24"/>
                <w:lang w:val="en-US" w:eastAsia="pt-BR"/>
              </w:rPr>
            </w:pPr>
            <w:r>
              <w:rPr>
                <w:rFonts w:hint="default" w:ascii="Arial" w:hAnsi="Arial" w:eastAsia="Times New Roman" w:cs="Arial"/>
                <w:b/>
                <w:bCs w:val="0"/>
                <w:sz w:val="24"/>
                <w:szCs w:val="24"/>
                <w:lang w:val="en-US" w:eastAsia="pt-BR"/>
              </w:rPr>
              <w:t>2019:</w:t>
            </w:r>
            <w:r>
              <w:rPr>
                <w:rFonts w:hint="default" w:ascii="Arial" w:hAnsi="Arial" w:eastAsia="Times New Roman" w:cs="Arial"/>
                <w:b w:val="0"/>
                <w:bCs/>
                <w:sz w:val="24"/>
                <w:szCs w:val="24"/>
                <w:lang w:val="en-US" w:eastAsia="pt-BR"/>
              </w:rPr>
              <w:t xml:space="preserve"> 38.340 exames</w:t>
            </w:r>
          </w:p>
          <w:p>
            <w:pPr>
              <w:spacing w:after="0"/>
              <w:jc w:val="center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4" w:type="dxa"/>
            <w:vAlign w:val="center"/>
          </w:tcPr>
          <w:p>
            <w:pPr>
              <w:spacing w:after="0"/>
              <w:jc w:val="both"/>
              <w:rPr>
                <w:rFonts w:ascii="Arial" w:hAnsi="Arial" w:eastAsia="Times New Roman" w:cs="Arial"/>
                <w:b/>
                <w:color w:val="auto"/>
                <w:sz w:val="24"/>
                <w:szCs w:val="24"/>
                <w:u w:val="single"/>
                <w:lang w:eastAsia="pt-BR"/>
              </w:rPr>
            </w:pPr>
          </w:p>
          <w:p>
            <w:pPr>
              <w:spacing w:after="0"/>
              <w:jc w:val="both"/>
              <w:rPr>
                <w:rFonts w:ascii="Arial" w:hAnsi="Arial" w:eastAsia="Times New Roman" w:cs="Arial"/>
                <w:b/>
                <w:color w:val="auto"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auto"/>
                <w:sz w:val="24"/>
                <w:szCs w:val="24"/>
                <w:u w:val="single"/>
                <w:lang w:eastAsia="pt-BR"/>
              </w:rPr>
              <w:t>SAÚDE DA GESTANTE E DA CRIANÇA/GRUPOS DE PRÉ E PÓS-PARTO/NUTRIÇÃO INFANTIL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auto"/>
                <w:sz w:val="24"/>
                <w:szCs w:val="24"/>
                <w:lang w:eastAsia="pt-BR"/>
              </w:rPr>
              <w:t>Ano de criação: 1996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auto"/>
                <w:sz w:val="24"/>
                <w:szCs w:val="24"/>
                <w:lang w:eastAsia="pt-BR"/>
              </w:rPr>
              <w:t>Instrumento Normativo: Lei nº 8080/1990.</w:t>
            </w:r>
            <w:r>
              <w:rPr>
                <w:rFonts w:ascii="Arial" w:hAnsi="Arial" w:eastAsia="Times New Roman" w:cs="Arial"/>
                <w:b/>
                <w:color w:val="auto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hAnsi="Arial" w:eastAsia="Times New Roman" w:cs="Arial"/>
                <w:color w:val="auto"/>
                <w:sz w:val="24"/>
                <w:szCs w:val="24"/>
                <w:lang w:eastAsia="pt-BR"/>
              </w:rPr>
              <w:t>PORTARIA Nº 2.488, DE 21 DE OUTUBRO DE 2011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auto"/>
                <w:sz w:val="24"/>
                <w:szCs w:val="24"/>
                <w:lang w:eastAsia="pt-BR"/>
              </w:rPr>
              <w:t>Local: Unidades Básicas de Saúde e Unidade de Apoio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auto"/>
                <w:sz w:val="24"/>
                <w:szCs w:val="24"/>
                <w:lang w:eastAsia="pt-BR"/>
              </w:rPr>
              <w:t>Especificação/finalidade: Grupos de orientação de pré e pós-parto e puericultura.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auto"/>
                <w:sz w:val="24"/>
                <w:szCs w:val="24"/>
                <w:lang w:eastAsia="pt-BR"/>
              </w:rPr>
              <w:t xml:space="preserve">Rubrica Orçamentária: Manutenção da Assistência Médica 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auto"/>
                <w:sz w:val="24"/>
                <w:szCs w:val="24"/>
                <w:lang w:eastAsia="pt-BR"/>
              </w:rPr>
              <w:t>Público Alvo: Gestantes, puérperas e crianças recém- nascidas.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3413" w:type="dxa"/>
            <w:vAlign w:val="center"/>
          </w:tcPr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auto"/>
                <w:sz w:val="24"/>
                <w:szCs w:val="24"/>
                <w:lang w:eastAsia="pt-BR"/>
              </w:rPr>
              <w:t xml:space="preserve">2013: </w:t>
            </w:r>
            <w:r>
              <w:rPr>
                <w:rFonts w:ascii="Arial" w:hAnsi="Arial" w:eastAsia="Times New Roman" w:cs="Arial"/>
                <w:color w:val="auto"/>
                <w:sz w:val="24"/>
                <w:szCs w:val="24"/>
                <w:lang w:eastAsia="pt-BR"/>
              </w:rPr>
              <w:t>6 grupos com 104 participantes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auto"/>
                <w:sz w:val="24"/>
                <w:szCs w:val="24"/>
                <w:lang w:eastAsia="pt-BR"/>
              </w:rPr>
              <w:t xml:space="preserve">2014: </w:t>
            </w:r>
            <w:r>
              <w:rPr>
                <w:rFonts w:ascii="Arial" w:hAnsi="Arial" w:eastAsia="Times New Roman" w:cs="Arial"/>
                <w:color w:val="auto"/>
                <w:sz w:val="24"/>
                <w:szCs w:val="24"/>
                <w:lang w:eastAsia="pt-BR"/>
              </w:rPr>
              <w:t>6 grupos com 103 participantes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auto"/>
                <w:sz w:val="24"/>
                <w:szCs w:val="24"/>
                <w:lang w:eastAsia="pt-BR"/>
              </w:rPr>
              <w:t xml:space="preserve">2015: </w:t>
            </w:r>
            <w:r>
              <w:rPr>
                <w:rFonts w:ascii="Arial" w:hAnsi="Arial" w:eastAsia="Times New Roman" w:cs="Arial"/>
                <w:color w:val="auto"/>
                <w:sz w:val="24"/>
                <w:szCs w:val="24"/>
                <w:lang w:eastAsia="pt-BR"/>
              </w:rPr>
              <w:t>7 grupos com 114 participantes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auto"/>
                <w:sz w:val="24"/>
                <w:szCs w:val="24"/>
                <w:lang w:eastAsia="pt-BR"/>
              </w:rPr>
              <w:t xml:space="preserve">2016: </w:t>
            </w:r>
            <w:r>
              <w:rPr>
                <w:rFonts w:ascii="Arial" w:hAnsi="Arial" w:eastAsia="Times New Roman" w:cs="Arial"/>
                <w:color w:val="auto"/>
                <w:sz w:val="24"/>
                <w:szCs w:val="24"/>
                <w:lang w:eastAsia="pt-BR"/>
              </w:rPr>
              <w:t>7 grupos</w:t>
            </w:r>
            <w:r>
              <w:rPr>
                <w:rFonts w:ascii="Arial" w:hAnsi="Arial" w:eastAsia="Times New Roman" w:cs="Arial"/>
                <w:b/>
                <w:color w:val="auto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hAnsi="Arial" w:eastAsia="Times New Roman" w:cs="Arial"/>
                <w:color w:val="auto"/>
                <w:sz w:val="24"/>
                <w:szCs w:val="24"/>
                <w:lang w:eastAsia="pt-BR"/>
              </w:rPr>
              <w:t>com</w:t>
            </w:r>
            <w:r>
              <w:rPr>
                <w:rFonts w:ascii="Arial" w:hAnsi="Arial" w:eastAsia="Times New Roman" w:cs="Arial"/>
                <w:b/>
                <w:color w:val="auto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hAnsi="Arial" w:eastAsia="Times New Roman" w:cs="Arial"/>
                <w:color w:val="auto"/>
                <w:sz w:val="24"/>
                <w:szCs w:val="24"/>
                <w:lang w:eastAsia="pt-BR"/>
              </w:rPr>
              <w:t>122 participantes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auto"/>
                <w:sz w:val="24"/>
                <w:szCs w:val="24"/>
                <w:lang w:eastAsia="pt-BR"/>
              </w:rPr>
              <w:t>2017</w:t>
            </w:r>
            <w:r>
              <w:rPr>
                <w:rFonts w:ascii="Arial" w:hAnsi="Arial" w:eastAsia="Times New Roman" w:cs="Arial"/>
                <w:color w:val="auto"/>
                <w:sz w:val="24"/>
                <w:szCs w:val="24"/>
                <w:lang w:eastAsia="pt-BR"/>
              </w:rPr>
              <w:t>: 4 grupos com 61 participantes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auto"/>
                <w:sz w:val="24"/>
                <w:szCs w:val="24"/>
                <w:lang w:eastAsia="pt-BR"/>
              </w:rPr>
              <w:t>2018</w:t>
            </w:r>
            <w:r>
              <w:rPr>
                <w:rFonts w:ascii="Arial" w:hAnsi="Arial" w:eastAsia="Times New Roman" w:cs="Arial"/>
                <w:color w:val="auto"/>
                <w:sz w:val="24"/>
                <w:szCs w:val="24"/>
                <w:lang w:eastAsia="pt-BR"/>
              </w:rPr>
              <w:t>:  3 grupos com 55 participantes</w:t>
            </w:r>
          </w:p>
          <w:p>
            <w:pPr>
              <w:spacing w:after="0"/>
              <w:jc w:val="both"/>
              <w:rPr>
                <w:rFonts w:hint="default" w:ascii="Arial" w:hAnsi="Arial" w:eastAsia="Times New Roman" w:cs="Arial"/>
                <w:color w:val="auto"/>
                <w:sz w:val="24"/>
                <w:szCs w:val="24"/>
                <w:lang w:val="en-US" w:eastAsia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auto"/>
                <w:sz w:val="24"/>
                <w:szCs w:val="24"/>
                <w:lang w:val="en-US" w:eastAsia="pt-BR"/>
              </w:rPr>
              <w:t>2019:</w:t>
            </w:r>
            <w:r>
              <w:rPr>
                <w:rFonts w:hint="default" w:ascii="Arial" w:hAnsi="Arial" w:eastAsia="Times New Roman" w:cs="Arial"/>
                <w:color w:val="auto"/>
                <w:sz w:val="24"/>
                <w:szCs w:val="24"/>
                <w:lang w:val="en-US" w:eastAsia="pt-BR"/>
              </w:rPr>
              <w:t xml:space="preserve"> 3 grupos com 44 participantes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4" w:type="dxa"/>
            <w:vAlign w:val="center"/>
          </w:tcPr>
          <w:p>
            <w:pPr>
              <w:spacing w:after="0"/>
              <w:jc w:val="both"/>
              <w:rPr>
                <w:rFonts w:ascii="Arial" w:hAnsi="Arial" w:eastAsia="Times New Roman" w:cs="Arial"/>
                <w:b/>
                <w:color w:val="auto"/>
                <w:sz w:val="24"/>
                <w:szCs w:val="24"/>
                <w:u w:val="single"/>
                <w:shd w:val="clear" w:color="auto" w:fill="auto"/>
                <w:lang w:eastAsia="pt-BR"/>
              </w:rPr>
            </w:pPr>
          </w:p>
          <w:p>
            <w:pPr>
              <w:spacing w:after="0"/>
              <w:jc w:val="both"/>
              <w:rPr>
                <w:rFonts w:ascii="Arial" w:hAnsi="Arial" w:eastAsia="Times New Roman" w:cs="Arial"/>
                <w:b/>
                <w:color w:val="auto"/>
                <w:sz w:val="24"/>
                <w:szCs w:val="24"/>
                <w:u w:val="single"/>
                <w:shd w:val="clear" w:color="auto" w:fill="auto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auto"/>
                <w:sz w:val="24"/>
                <w:szCs w:val="24"/>
                <w:u w:val="single"/>
                <w:shd w:val="clear" w:color="auto" w:fill="auto"/>
                <w:lang w:eastAsia="pt-BR"/>
              </w:rPr>
              <w:t>SAÚDE DA MULHER/ATENDIMENTO A GESTANTE NA ATENÇÃO BÁSICA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color w:val="auto"/>
                <w:sz w:val="24"/>
                <w:szCs w:val="24"/>
                <w:shd w:val="clear" w:color="auto" w:fill="auto"/>
                <w:lang w:eastAsia="pt-BR"/>
              </w:rPr>
            </w:pPr>
            <w:r>
              <w:rPr>
                <w:rFonts w:ascii="Arial" w:hAnsi="Arial" w:eastAsia="Times New Roman" w:cs="Arial"/>
                <w:color w:val="auto"/>
                <w:sz w:val="24"/>
                <w:szCs w:val="24"/>
                <w:shd w:val="clear" w:color="auto" w:fill="auto"/>
                <w:lang w:eastAsia="pt-BR"/>
              </w:rPr>
              <w:t>Ano de criação: 2011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color w:val="auto"/>
                <w:sz w:val="24"/>
                <w:szCs w:val="24"/>
                <w:shd w:val="clear" w:color="auto" w:fill="auto"/>
                <w:lang w:eastAsia="pt-BR"/>
              </w:rPr>
            </w:pPr>
            <w:r>
              <w:rPr>
                <w:rFonts w:ascii="Arial" w:hAnsi="Arial" w:eastAsia="Times New Roman" w:cs="Arial"/>
                <w:color w:val="auto"/>
                <w:sz w:val="24"/>
                <w:szCs w:val="24"/>
                <w:shd w:val="clear" w:color="auto" w:fill="auto"/>
                <w:lang w:eastAsia="pt-BR"/>
              </w:rPr>
              <w:t>Instrumento Normativo: Lei nº 8080/1990.</w:t>
            </w:r>
            <w:r>
              <w:rPr>
                <w:rFonts w:ascii="Arial" w:hAnsi="Arial" w:eastAsia="Times New Roman" w:cs="Arial"/>
                <w:b/>
                <w:color w:val="auto"/>
                <w:sz w:val="24"/>
                <w:szCs w:val="24"/>
                <w:shd w:val="clear" w:color="auto" w:fill="auto"/>
                <w:lang w:eastAsia="pt-BR"/>
              </w:rPr>
              <w:t xml:space="preserve"> </w:t>
            </w:r>
            <w:r>
              <w:rPr>
                <w:rFonts w:ascii="Arial" w:hAnsi="Arial" w:eastAsia="Times New Roman" w:cs="Arial"/>
                <w:color w:val="auto"/>
                <w:sz w:val="24"/>
                <w:szCs w:val="24"/>
                <w:shd w:val="clear" w:color="auto" w:fill="auto"/>
                <w:lang w:eastAsia="pt-BR"/>
              </w:rPr>
              <w:t>PORTARIA Nº 2.488, DE 21 DE OUTUBRO DE 2011.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color w:val="auto"/>
                <w:sz w:val="24"/>
                <w:szCs w:val="24"/>
                <w:shd w:val="clear" w:color="auto" w:fill="auto"/>
                <w:lang w:eastAsia="pt-BR"/>
              </w:rPr>
            </w:pPr>
            <w:r>
              <w:rPr>
                <w:rFonts w:ascii="Arial" w:hAnsi="Arial" w:eastAsia="Times New Roman" w:cs="Arial"/>
                <w:color w:val="auto"/>
                <w:sz w:val="24"/>
                <w:szCs w:val="24"/>
                <w:shd w:val="clear" w:color="auto" w:fill="auto"/>
                <w:lang w:eastAsia="pt-BR"/>
              </w:rPr>
              <w:t>Local: Todas as Unidades de Saúde com atendimento médico e de enfermagem.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color w:val="auto"/>
                <w:sz w:val="24"/>
                <w:szCs w:val="24"/>
                <w:shd w:val="clear" w:color="auto" w:fill="auto"/>
                <w:lang w:eastAsia="pt-BR"/>
              </w:rPr>
            </w:pPr>
            <w:r>
              <w:rPr>
                <w:rFonts w:ascii="Arial" w:hAnsi="Arial" w:eastAsia="Times New Roman" w:cs="Arial"/>
                <w:color w:val="auto"/>
                <w:sz w:val="24"/>
                <w:szCs w:val="24"/>
                <w:shd w:val="clear" w:color="auto" w:fill="auto"/>
                <w:lang w:eastAsia="pt-BR"/>
              </w:rPr>
              <w:t>Especificação/finalidade: Consultas de pré-natal por profissional de nível superior na atenção básica.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color w:val="auto"/>
                <w:sz w:val="24"/>
                <w:szCs w:val="24"/>
                <w:shd w:val="clear" w:color="auto" w:fill="auto"/>
                <w:lang w:eastAsia="pt-BR"/>
              </w:rPr>
            </w:pPr>
            <w:r>
              <w:rPr>
                <w:rFonts w:ascii="Arial" w:hAnsi="Arial" w:eastAsia="Times New Roman" w:cs="Arial"/>
                <w:color w:val="auto"/>
                <w:sz w:val="24"/>
                <w:szCs w:val="24"/>
                <w:shd w:val="clear" w:color="auto" w:fill="auto"/>
                <w:lang w:eastAsia="pt-BR"/>
              </w:rPr>
              <w:t xml:space="preserve">Rubrica Orçamentária: Manutenção da Assistência Médica 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color w:val="auto"/>
                <w:sz w:val="24"/>
                <w:szCs w:val="24"/>
                <w:shd w:val="clear" w:color="auto" w:fill="auto"/>
                <w:lang w:eastAsia="pt-BR"/>
              </w:rPr>
            </w:pPr>
            <w:r>
              <w:rPr>
                <w:rFonts w:ascii="Arial" w:hAnsi="Arial" w:eastAsia="Times New Roman" w:cs="Arial"/>
                <w:color w:val="auto"/>
                <w:sz w:val="24"/>
                <w:szCs w:val="24"/>
                <w:shd w:val="clear" w:color="auto" w:fill="auto"/>
                <w:lang w:eastAsia="pt-BR"/>
              </w:rPr>
              <w:t>Público Alvo: Gestantes.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color w:val="auto"/>
                <w:sz w:val="24"/>
                <w:szCs w:val="24"/>
                <w:shd w:val="clear" w:color="auto" w:fill="auto"/>
                <w:lang w:eastAsia="pt-BR"/>
              </w:rPr>
            </w:pPr>
          </w:p>
        </w:tc>
        <w:tc>
          <w:tcPr>
            <w:tcW w:w="3413" w:type="dxa"/>
            <w:vAlign w:val="center"/>
          </w:tcPr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color w:val="auto"/>
                <w:sz w:val="24"/>
                <w:szCs w:val="24"/>
                <w:shd w:val="clear" w:color="auto" w:fill="auto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auto"/>
                <w:sz w:val="24"/>
                <w:szCs w:val="24"/>
                <w:shd w:val="clear" w:color="auto" w:fill="auto"/>
                <w:lang w:eastAsia="pt-BR"/>
              </w:rPr>
              <w:t xml:space="preserve">2013: </w:t>
            </w:r>
            <w:r>
              <w:rPr>
                <w:rFonts w:ascii="Arial" w:hAnsi="Arial" w:eastAsia="Times New Roman" w:cs="Arial"/>
                <w:color w:val="auto"/>
                <w:sz w:val="24"/>
                <w:szCs w:val="24"/>
                <w:shd w:val="clear" w:color="auto" w:fill="auto"/>
                <w:lang w:eastAsia="pt-BR"/>
              </w:rPr>
              <w:t>1.139 atendimentos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color w:val="auto"/>
                <w:sz w:val="24"/>
                <w:szCs w:val="24"/>
                <w:shd w:val="clear" w:color="auto" w:fill="auto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auto"/>
                <w:sz w:val="24"/>
                <w:szCs w:val="24"/>
                <w:shd w:val="clear" w:color="auto" w:fill="auto"/>
                <w:lang w:eastAsia="pt-BR"/>
              </w:rPr>
              <w:t xml:space="preserve">2014: </w:t>
            </w:r>
            <w:r>
              <w:rPr>
                <w:rFonts w:ascii="Arial" w:hAnsi="Arial" w:eastAsia="Times New Roman" w:cs="Arial"/>
                <w:color w:val="auto"/>
                <w:sz w:val="24"/>
                <w:szCs w:val="24"/>
                <w:shd w:val="clear" w:color="auto" w:fill="auto"/>
                <w:lang w:eastAsia="pt-BR"/>
              </w:rPr>
              <w:t>1.459 atendimentos (**)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color w:val="auto"/>
                <w:sz w:val="24"/>
                <w:szCs w:val="24"/>
                <w:shd w:val="clear" w:color="auto" w:fill="auto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auto"/>
                <w:sz w:val="24"/>
                <w:szCs w:val="24"/>
                <w:shd w:val="clear" w:color="auto" w:fill="auto"/>
                <w:lang w:eastAsia="pt-BR"/>
              </w:rPr>
              <w:t xml:space="preserve">2015: </w:t>
            </w:r>
            <w:r>
              <w:rPr>
                <w:rFonts w:ascii="Arial" w:hAnsi="Arial" w:eastAsia="Times New Roman" w:cs="Arial"/>
                <w:color w:val="auto"/>
                <w:sz w:val="24"/>
                <w:szCs w:val="24"/>
                <w:shd w:val="clear" w:color="auto" w:fill="auto"/>
                <w:lang w:eastAsia="pt-BR"/>
              </w:rPr>
              <w:t>1.938 atendimentos (**)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color w:val="auto"/>
                <w:sz w:val="24"/>
                <w:szCs w:val="24"/>
                <w:shd w:val="clear" w:color="auto" w:fill="auto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auto"/>
                <w:sz w:val="24"/>
                <w:szCs w:val="24"/>
                <w:shd w:val="clear" w:color="auto" w:fill="auto"/>
                <w:lang w:eastAsia="pt-BR"/>
              </w:rPr>
              <w:t xml:space="preserve">2016: </w:t>
            </w:r>
            <w:r>
              <w:rPr>
                <w:rFonts w:ascii="Arial" w:hAnsi="Arial" w:eastAsia="Times New Roman" w:cs="Arial"/>
                <w:color w:val="auto"/>
                <w:sz w:val="24"/>
                <w:szCs w:val="24"/>
                <w:shd w:val="clear" w:color="auto" w:fill="auto"/>
                <w:lang w:eastAsia="pt-BR"/>
              </w:rPr>
              <w:t>1.844 atendimentos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color w:val="auto"/>
                <w:sz w:val="24"/>
                <w:szCs w:val="24"/>
                <w:shd w:val="clear" w:color="auto" w:fill="auto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auto"/>
                <w:sz w:val="24"/>
                <w:szCs w:val="24"/>
                <w:shd w:val="clear" w:color="auto" w:fill="auto"/>
                <w:lang w:eastAsia="pt-BR"/>
              </w:rPr>
              <w:t>2017</w:t>
            </w:r>
            <w:r>
              <w:rPr>
                <w:rFonts w:ascii="Arial" w:hAnsi="Arial" w:eastAsia="Times New Roman" w:cs="Arial"/>
                <w:color w:val="auto"/>
                <w:sz w:val="24"/>
                <w:szCs w:val="24"/>
                <w:shd w:val="clear" w:color="auto" w:fill="auto"/>
                <w:lang w:eastAsia="pt-BR"/>
              </w:rPr>
              <w:t>: 1.630 atendimentos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color w:val="auto"/>
                <w:sz w:val="24"/>
                <w:szCs w:val="24"/>
                <w:shd w:val="clear" w:color="auto" w:fill="auto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auto"/>
                <w:sz w:val="24"/>
                <w:szCs w:val="24"/>
                <w:shd w:val="clear" w:color="auto" w:fill="auto"/>
                <w:lang w:eastAsia="pt-BR"/>
              </w:rPr>
              <w:t>2018:</w:t>
            </w:r>
            <w:r>
              <w:rPr>
                <w:rFonts w:ascii="Arial" w:hAnsi="Arial" w:eastAsia="Times New Roman" w:cs="Arial"/>
                <w:color w:val="auto"/>
                <w:sz w:val="24"/>
                <w:szCs w:val="24"/>
                <w:shd w:val="clear" w:color="auto" w:fill="auto"/>
                <w:lang w:eastAsia="pt-BR"/>
              </w:rPr>
              <w:t xml:space="preserve"> 1.974 atendimentos</w:t>
            </w:r>
          </w:p>
          <w:p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color w:val="auto"/>
                <w:sz w:val="24"/>
                <w:szCs w:val="24"/>
                <w:shd w:val="clear" w:color="auto" w:fill="auto"/>
                <w:lang w:val="en-US" w:eastAsia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auto"/>
                <w:sz w:val="24"/>
                <w:szCs w:val="24"/>
                <w:shd w:val="clear" w:color="auto" w:fill="auto"/>
                <w:lang w:val="en-US" w:eastAsia="pt-BR"/>
              </w:rPr>
              <w:t>2019:</w:t>
            </w:r>
            <w:r>
              <w:rPr>
                <w:rFonts w:hint="default" w:ascii="Arial" w:hAnsi="Arial" w:eastAsia="Times New Roman" w:cs="Arial"/>
                <w:color w:val="auto"/>
                <w:sz w:val="24"/>
                <w:szCs w:val="24"/>
                <w:shd w:val="clear" w:color="auto" w:fill="auto"/>
                <w:lang w:val="en-US" w:eastAsia="pt-BR"/>
              </w:rPr>
              <w:t xml:space="preserve"> 2.306 atendimentos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4" w:type="dxa"/>
            <w:vAlign w:val="center"/>
          </w:tcPr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</w:p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  <w:t>SAÚDE DA MULHER/EXAMES PREVENTIVOS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Ano de criação: 1989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Instrumento Normativo: Lei nº 8080/1990. PORTARIA Nº 2.488, DE 21 DE OUTUBRO DE 2011. </w:t>
            </w:r>
            <w:r>
              <w:fldChar w:fldCharType="begin"/>
            </w:r>
            <w:r>
              <w:instrText xml:space="preserve"> HYPERLINK "http://bvsms.saude.gov.br/bvs/saudelegis/gm/2014/prt0189_31_01_2014.html" \t "_blank" </w:instrText>
            </w:r>
            <w:r>
              <w:fldChar w:fldCharType="separate"/>
            </w:r>
            <w:r>
              <w:rPr>
                <w:rFonts w:ascii="Arial" w:hAnsi="Arial" w:eastAsia="Times New Roman" w:cs="Arial"/>
                <w:bCs/>
                <w:sz w:val="24"/>
                <w:szCs w:val="24"/>
                <w:lang w:eastAsia="pt-BR"/>
              </w:rPr>
              <w:t>Portaria nº 189 MS/GM, de 31/01/2014:</w:t>
            </w:r>
            <w:r>
              <w:rPr>
                <w:rFonts w:ascii="Arial" w:hAnsi="Arial" w:eastAsia="Times New Roman" w:cs="Arial"/>
                <w:bCs/>
                <w:sz w:val="24"/>
                <w:szCs w:val="24"/>
                <w:lang w:eastAsia="pt-BR"/>
              </w:rPr>
              <w:fldChar w:fldCharType="end"/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Local: Unidades Básicas de Saúde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Especificação/finalidade: prevenção do câncer de mama e do colo de útero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Rubrica Orçamentária: Manutenção da Assistência Médica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Público Alvo: População feminina.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3413" w:type="dxa"/>
            <w:vAlign w:val="center"/>
          </w:tcPr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2013: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1.296 exames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2014: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1.088 exames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2015: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1.285 exames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2016: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1.083 exames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2017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: 1.275 exames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2018: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1.268 exames</w:t>
            </w:r>
          </w:p>
          <w:p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pt-BR"/>
              </w:rPr>
              <w:t xml:space="preserve">2019: </w:t>
            </w:r>
            <w:r>
              <w:rPr>
                <w:rFonts w:hint="default" w:ascii="Arial" w:hAnsi="Arial" w:eastAsia="Times New Roman" w:cs="Arial"/>
                <w:b w:val="0"/>
                <w:bCs w:val="0"/>
                <w:sz w:val="24"/>
                <w:szCs w:val="24"/>
                <w:lang w:val="en-US" w:eastAsia="pt-BR"/>
              </w:rPr>
              <w:t>1.121 exames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4" w:type="dxa"/>
            <w:vAlign w:val="center"/>
          </w:tcPr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  <w:t>SAÚDE DA MULHER/GRUPO DE MULHERES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Ano de criação: 2003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Instrumento Normativo: PORTARIA Nº 2.488, DE 21 DE OUTUBRO DE 2011.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Local: Unidades Básicas de Saúde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Especificação/finalidade: Grupos de convivência e terapia ocupacional com reuniões semanais.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Rubrica Orçamentária: Manutenção da Assistência Médica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Público Alvo: Mulheres em geral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413" w:type="dxa"/>
            <w:vAlign w:val="center"/>
          </w:tcPr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2013: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5 grupos (um por unidade) com 10 a 20 participantes cada em média.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2014: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5 grupos (um por unidade) com 10 a 20 participantes cada em média.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2015: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5 grupos (um por unidade) com 10 a 20 participantes cada em média.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2016: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5 grupos (um por unidade) com 10 a 20 participantes cada em media.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2017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: 6 grupos (um por unidade) com 8 a 20 participantes cada em média.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2018: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7 grupos com 6 a 14 participantes cada em média</w:t>
            </w:r>
          </w:p>
          <w:p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pt-BR"/>
              </w:rPr>
              <w:t>2019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  <w:t>: 7 grupos com média de 5 a 16 participantes cada.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4" w:type="dxa"/>
            <w:vAlign w:val="center"/>
          </w:tcPr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</w:p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  <w:t>SAÚDE MAIS PERTO DE VOCÊ – POSTOS COM ESTRATÉGIA DE SAÚDE DA FAMÍLIA – ESF</w:t>
            </w:r>
          </w:p>
          <w:p>
            <w:pPr>
              <w:spacing w:after="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Ano de criação: 2003</w:t>
            </w:r>
          </w:p>
          <w:p>
            <w:pPr>
              <w:spacing w:after="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Instrumento Normativo: PORTARIA Nº 2.488, DE 21 DE OUTUBRO DE 2011.</w:t>
            </w:r>
          </w:p>
          <w:p>
            <w:pPr>
              <w:spacing w:after="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Local: Unidades Básicas de Saúde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Especificação/finalidade: Atendimento de Saúde da Família – equipe medica e de enfermagem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Rubrica Orçamentária: Manutenção da Assistência Médica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Público Alvo: População de área afeta a cada unidade de saúde.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413" w:type="dxa"/>
            <w:vMerge w:val="restart"/>
            <w:vAlign w:val="center"/>
          </w:tcPr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2013: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35.461 consultas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  <w:t>(**)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2014: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34.720 consultas (**)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2015: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26.267 consultas (**)</w:t>
            </w:r>
          </w:p>
          <w:p>
            <w:pPr>
              <w:spacing w:after="0" w:line="360" w:lineRule="auto"/>
              <w:ind w:left="39"/>
              <w:contextualSpacing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2016: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34.750 consultas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  <w:t>(**)</w:t>
            </w:r>
          </w:p>
          <w:p>
            <w:pPr>
              <w:spacing w:after="0" w:line="360" w:lineRule="auto"/>
              <w:ind w:left="39"/>
              <w:contextualSpacing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2017: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33.920 consultas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  <w:t>(**)</w:t>
            </w:r>
          </w:p>
          <w:p>
            <w:pPr>
              <w:spacing w:after="0" w:line="360" w:lineRule="auto"/>
              <w:ind w:left="39"/>
              <w:contextualSpacing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2018: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28.181 consultas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  <w:t>(**)</w:t>
            </w:r>
          </w:p>
          <w:p>
            <w:pPr>
              <w:spacing w:after="0" w:line="360" w:lineRule="auto"/>
              <w:ind w:left="39"/>
              <w:contextualSpacing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pt-BR"/>
              </w:rPr>
              <w:t>2019: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  <w:t xml:space="preserve"> 30.955 consultas(**)</w:t>
            </w:r>
          </w:p>
          <w:p>
            <w:pPr>
              <w:spacing w:after="0" w:line="360" w:lineRule="auto"/>
              <w:ind w:left="39"/>
              <w:contextualSpacing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</w:pPr>
          </w:p>
          <w:p>
            <w:pPr>
              <w:spacing w:after="0" w:line="360" w:lineRule="auto"/>
              <w:ind w:left="39"/>
              <w:contextualSpacing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  <w:t xml:space="preserve">Após 2015 houve inicio do e-sus - anterior pode haver contabilização diversa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4" w:type="dxa"/>
            <w:vAlign w:val="center"/>
          </w:tcPr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</w:p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  <w:t>SAÚDE MAIS PERTO DE VOCÊ – POSTOS DE SAÚDE SEM ESF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Ano de criação: 1989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Instrumento Normativo: PORTARIA Nº 2.488, DE 21 DE OUTUBRO DE 2011.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Local: Postos de Saúde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Especificação/finalidade: Atendimento médico e de equipe de enfermagem.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Rubrica Orçamentária: Manutenção da Assistência Médica 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Público Alvo: População de área afeta a cada unidade de saúde.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41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4" w:type="dxa"/>
            <w:vAlign w:val="center"/>
          </w:tcPr>
          <w:p>
            <w:pPr>
              <w:spacing w:after="0"/>
              <w:jc w:val="both"/>
              <w:rPr>
                <w:rFonts w:hint="default" w:ascii="Arial" w:hAnsi="Arial" w:eastAsia="Times New Roman" w:cs="Arial"/>
                <w:b/>
                <w:sz w:val="24"/>
                <w:szCs w:val="24"/>
                <w:lang w:val="en-US" w:eastAsia="pt-BR"/>
              </w:rPr>
            </w:pPr>
            <w:r>
              <w:rPr>
                <w:rFonts w:hint="default" w:ascii="Arial" w:hAnsi="Arial" w:eastAsia="Times New Roman" w:cs="Arial"/>
                <w:b/>
                <w:sz w:val="24"/>
                <w:szCs w:val="24"/>
                <w:lang w:val="en-US" w:eastAsia="pt-BR"/>
              </w:rPr>
              <w:t>UNIDADES DE SAÚDE EM GERAL</w:t>
            </w:r>
          </w:p>
          <w:p>
            <w:pPr>
              <w:spacing w:after="0"/>
              <w:jc w:val="both"/>
              <w:rPr>
                <w:rFonts w:hint="default" w:ascii="Arial" w:hAnsi="Arial" w:eastAsia="Times New Roman" w:cs="Arial"/>
                <w:b/>
                <w:sz w:val="24"/>
                <w:szCs w:val="24"/>
                <w:lang w:val="en-US" w:eastAsia="pt-BR"/>
              </w:rPr>
            </w:pPr>
            <w:r>
              <w:rPr>
                <w:rFonts w:hint="default" w:ascii="Arial" w:hAnsi="Arial" w:eastAsia="Times New Roman" w:cs="Arial"/>
                <w:b/>
                <w:sz w:val="24"/>
                <w:szCs w:val="24"/>
                <w:lang w:val="en-US" w:eastAsia="pt-BR"/>
              </w:rPr>
              <w:t>Programa de Acolhimento com Classificação de Risco</w:t>
            </w:r>
          </w:p>
          <w:p>
            <w:pPr>
              <w:spacing w:after="0"/>
              <w:jc w:val="both"/>
              <w:rPr>
                <w:rFonts w:hint="default" w:ascii="Arial" w:hAnsi="Arial" w:eastAsia="Times New Roman" w:cs="Arial"/>
                <w:b w:val="0"/>
                <w:bCs/>
                <w:sz w:val="24"/>
                <w:szCs w:val="24"/>
                <w:lang w:val="en-US" w:eastAsia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sz w:val="24"/>
                <w:szCs w:val="24"/>
                <w:lang w:val="en-US" w:eastAsia="pt-BR"/>
              </w:rPr>
              <w:t>Programa desenvolvido para o término de filas nas unidades de saúde e racionalização da disponibilidade de serviços mediante avaliação e classificação de todos os pacientes, extinguindo a distribuição de fichas.</w:t>
            </w:r>
          </w:p>
        </w:tc>
        <w:tc>
          <w:tcPr>
            <w:tcW w:w="3413" w:type="dxa"/>
            <w:vAlign w:val="center"/>
          </w:tcPr>
          <w:p>
            <w:pPr>
              <w:spacing w:after="0"/>
              <w:jc w:val="both"/>
              <w:rPr>
                <w:rFonts w:hint="default" w:ascii="Arial" w:hAnsi="Arial" w:eastAsia="Times New Roman" w:cs="Arial"/>
                <w:b/>
                <w:sz w:val="24"/>
                <w:szCs w:val="24"/>
                <w:lang w:val="en-US" w:eastAsia="pt-BR"/>
              </w:rPr>
            </w:pPr>
            <w:r>
              <w:rPr>
                <w:rFonts w:hint="default" w:ascii="Arial" w:hAnsi="Arial" w:eastAsia="Times New Roman" w:cs="Arial"/>
                <w:b/>
                <w:sz w:val="24"/>
                <w:szCs w:val="24"/>
                <w:lang w:val="en-US" w:eastAsia="pt-BR"/>
              </w:rPr>
              <w:t>100% dos usuários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4" w:type="dxa"/>
            <w:vAlign w:val="center"/>
          </w:tcPr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</w:p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  <w:t>SERVIÇO DE TRANSPORTE DE PACIENTES – PRÓPRIO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Ano de criação: 1988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Instrumento Normativo: Lei nº 8080/1990. Resolução nº 69/2000 de 30 de junho de 2000. Ordem de Serviço nº 001/2014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Local: Posto de Saúde Central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Especificação/finalidade: Transporte para consultas e exames fora do município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Rubrica Orçamentária: Manutenção da Secretaria de Saúde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Público Alvo: Pacientes com agendamento de consultas e exames em outros municípios. Internações e busca de altas. 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413" w:type="dxa"/>
            <w:vAlign w:val="center"/>
          </w:tcPr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2013: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8.448 pacientes e 1.111 viagens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2014: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8.531 pacientes e 1.275 viagens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2015: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8.211 pacientes e 1.284 viagens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2016: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7.565 pacientes e 1.265 viagens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2017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: 9.607 pacientes e 1.160 viagens 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2018: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10.349 pacientes e 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           1.139 viagens</w:t>
            </w:r>
          </w:p>
          <w:p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pt-BR"/>
              </w:rPr>
              <w:t>2019: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  <w:t xml:space="preserve"> 10.312 pacientes e 1.432 viagens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(***)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4" w:type="dxa"/>
            <w:vAlign w:val="center"/>
          </w:tcPr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</w:p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  <w:t>SUPORTE AO PACIENTE COM DEFICIÊNCIA/ESTOMIZADOS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Ano de criação: 1993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Instrumento Normativo: Lei nº 8080/1990. Portarias MS nº 116/1993, 400/2009, 1060/2002 e 5296/2004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Local: Posto de Saúde Central/Sala de vacinas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Especificação/finalidade: Fornecimento de bolsas de colostomia e insumos complementares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Rubrica Orçamentária: Recurso Estadual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Público Alvo: Pacientes com deficiência ou trauma cirúrgico (estomizados)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413" w:type="dxa"/>
            <w:vAlign w:val="center"/>
          </w:tcPr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2013: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04 a 05 pacientes em média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2014: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04 a 05 pacientes em média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2015: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04 a 05 pacientes em média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2016: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04 a 05 pacientes em média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2017: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04 a 05 pacientes em média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2018: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07 pacientes estomizados e 04 com oxigenioterapia </w:t>
            </w:r>
            <w:r>
              <w:rPr>
                <w:rFonts w:ascii="Arial" w:hAnsi="Arial" w:eastAsia="Times New Roman" w:cs="Arial"/>
                <w:lang w:eastAsia="pt-BR"/>
              </w:rPr>
              <w:t>(concentrador)</w:t>
            </w:r>
          </w:p>
          <w:p>
            <w:pPr>
              <w:spacing w:after="0"/>
              <w:jc w:val="both"/>
              <w:rPr>
                <w:rFonts w:hint="default" w:ascii="Arial" w:hAnsi="Arial" w:eastAsia="Times New Roman" w:cs="Arial"/>
                <w:lang w:val="en-US" w:eastAsia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lang w:val="en-US" w:eastAsia="pt-BR"/>
              </w:rPr>
              <w:t>2019</w:t>
            </w:r>
            <w:r>
              <w:rPr>
                <w:rFonts w:hint="default" w:ascii="Arial" w:hAnsi="Arial" w:eastAsia="Times New Roman" w:cs="Arial"/>
                <w:lang w:val="en-US" w:eastAsia="pt-BR"/>
              </w:rPr>
              <w:t>: 04 pacientes estomizados e 09 com oxigenioterapia.</w:t>
            </w:r>
          </w:p>
          <w:p>
            <w:pPr>
              <w:spacing w:after="0"/>
              <w:jc w:val="both"/>
              <w:rPr>
                <w:rFonts w:hint="default" w:ascii="Arial" w:hAnsi="Arial" w:eastAsia="Times New Roman" w:cs="Arial"/>
                <w:lang w:val="en-US"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4" w:type="dxa"/>
            <w:vAlign w:val="center"/>
          </w:tcPr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</w:p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  <w:t>VACINAÇÃO E VIGILÂNCIA EPIDEMIOLÓGICA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Ano de criação: 1973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Instrumento Normativo: Lei nº 8080/1990. Portaria GM/MS nº 1498 de 19 de julho de 2013.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Local: Posto de Saúde Central/Vigilância Epidemiológica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Especificação/finalidade: Controle de doenças epidemiológicas/vacinação e notificação compulsória de doenças (hepatite/rubéola/febre amarela, dengue, zika, etc...)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Rubrica Orçamentária: Manutenção da Vigilância em Saúde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Público Alvo: População alvo em cada campanha/tipo de vacinação- crianças para poliomielite, idosos gestantes e pessoas com comorbidades para gripe A, etc... Público específico alvo da vigilância (portadores de HIV, Hepatites virais, etc...).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413" w:type="dxa"/>
            <w:vAlign w:val="center"/>
          </w:tcPr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2013: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9.739 vacinas aplicadas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Vig. Epidemio: 69 notificações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2014: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11.336 vacinas aplicadas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Vig. Epidemio: 44 notificações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2015: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12.258 vacinas aplicadas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Vig. Epidemio: 92 notificações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2016: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11.695 vacinas aplicadas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Vig. Epidemio: 86 notificações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2017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: 12.156 vacinas aplicadas e 159 notificações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2018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: 13.376 vacinas aplicadas e 127 notificações</w:t>
            </w:r>
          </w:p>
          <w:p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pt-BR"/>
              </w:rPr>
              <w:t>2019: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  <w:t xml:space="preserve"> 12.277 vacinas e 214 notificações no SINAN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4" w:type="dxa"/>
            <w:vAlign w:val="center"/>
          </w:tcPr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</w:p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  <w:t>VIGILÂNCIA AMBIENTAL (CONTROLE DO VETOR DA DENGUE, ZIKA E CHIKUNGUNYA).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Ano de criação: 2001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Instrumento Normativo: Lei nº 8080/1990. Portaria nº 2457 de 11 de dezembro de 2014 e Plano Municipal de Contingencia de Dengue, ZIka, Febre Amarela e Chikungunya.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Local: Posto de Saúde Central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Especificação/finalidade: Controle de vetores da dengue, zika, chikungunya e febre amarela (mosquito transmissor).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Rubrica Orçamentária: Manutenção da Vigilância em Saúde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Público Alvo: População em geral/imóveis urbanos.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413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2013: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Não havia sistema para lançar dados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2014: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13.784 vistorias efetuadas.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2015: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27.481 vistorias efetuadas.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2016: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47.371 vistorias efetuadas com o auxílio de Agentes Comunitários de Saúde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2017: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52.594 vistorias efetuadas com o auxílio dos ACSs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2018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: 32.001 vistorias efetuadas </w:t>
            </w:r>
          </w:p>
          <w:p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pt-BR"/>
              </w:rPr>
              <w:t>2019: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  <w:t xml:space="preserve"> 30.161 vistorias efetuadas.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4" w:type="dxa"/>
            <w:vAlign w:val="center"/>
          </w:tcPr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</w:p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  <w:t>VIGILÂNCIA SANITÁRIA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Ano de criação: 2011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Instrumento Normativo: Lei nº 8080/1990. Lei Municipal nº 39.452/11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Local: Posto de saúde central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Especificação/finalidade: Fiscalização Sanitária/alvarás e licenças de funcionamento para estabelecimentos comerciais/industriais e de prestação de serviço.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Rubrica Orçamentária: Manutenção da Vigilância Sanitária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Público Alvo: Empresas e atividades sujeitas à fiscalização sanitária.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413" w:type="dxa"/>
            <w:vAlign w:val="center"/>
          </w:tcPr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2013: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209 alvarás emitidos e estabelecimentos vistoriados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2014: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285</w:t>
            </w: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alvarás emitidos e estabelecimentos vistoriados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2015: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512 alvarás emitidos e estabelecimentos vistoriados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2016: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544 alvarás emitidos e estabelecimentos vistoriados.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2017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: 575 alvarás emitidos e estabelecimentos vistoriados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2018: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632 alvarás emitidos e estabelecimentos vistoriados</w:t>
            </w:r>
          </w:p>
          <w:p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pt-BR"/>
              </w:rPr>
              <w:t>2019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  <w:t xml:space="preserve">: 628 alvarás emitidos e estabelecimentos vistoriados 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(****)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4" w:type="dxa"/>
            <w:vAlign w:val="center"/>
          </w:tcPr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</w:p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  <w:t>AGENDAMENTO DE CIRURGIAS ELETIVAS LOCAIS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Ano de criação: 2006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Instrumento Normativo: Lei nº 8080/1990. Portaria GM/MS 1.034/2015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Local: Hospitais Locais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Especificação/finalidade: Cirurgias de baixa complexidade em âmbito local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Rubrica Orçamentária: Manutenção da Assistência Médica e Odontológica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Público Alvo: População com agravos de saúde dependentes de intervenção cirúrgica de baixa ou média complexidade.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413" w:type="dxa"/>
            <w:vAlign w:val="center"/>
          </w:tcPr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2013: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112 cirurgias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2014: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134 cirurgias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2015: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113 cirurgias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2016: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21 cirurgias (jan a mai) (</w:t>
            </w:r>
            <w:r>
              <w:rPr>
                <w:rFonts w:ascii="Arial" w:hAnsi="Arial" w:eastAsia="Times New Roman" w:cs="Arial"/>
                <w:lang w:eastAsia="pt-BR"/>
              </w:rPr>
              <w:t>de jun a dez faltam dados dos hospitais)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2017: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07 cirurgias (jan a dez) 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2018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:  Não foram realizadas cirurgias eletivas.</w:t>
            </w:r>
          </w:p>
          <w:p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pt-BR"/>
              </w:rPr>
              <w:t>2019: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  <w:t xml:space="preserve"> 41 cirurgias eletivas</w:t>
            </w:r>
          </w:p>
          <w:p>
            <w:pPr>
              <w:spacing w:after="0"/>
              <w:ind w:left="900"/>
              <w:contextualSpacing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</w:p>
          <w:p>
            <w:pPr>
              <w:spacing w:after="0"/>
              <w:ind w:left="900"/>
              <w:contextualSpacing/>
              <w:jc w:val="both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4" w:type="dxa"/>
            <w:vAlign w:val="center"/>
          </w:tcPr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</w:p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  <w:t>SERVIÇO DE TRIAGEM NEONATAL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Ano de criação: 1996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Instrumento Normativo: Lei nº 8080/1990. Portaria Nº 822 DE 06 DE JUNHO DE 2001.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Local: Posto de Saúde Central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Especificação/finalidade: Coleta do teste do pezinho entre 3º e 7º dia de vida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Rubrica Orçamentária: Manutenção da Vigilância em Saúde 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Público Alvo: Crianças recém - nascidas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413" w:type="dxa"/>
            <w:vAlign w:val="center"/>
          </w:tcPr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2013: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131 coletas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2014: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136 coletas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2015: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153 coletas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2016: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260</w:t>
            </w: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coletas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2017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:  220 coletas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2018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: 232 coletas</w:t>
            </w:r>
          </w:p>
          <w:p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pt-BR"/>
              </w:rPr>
              <w:t>2019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  <w:t>: 226 coletas</w:t>
            </w:r>
          </w:p>
        </w:tc>
      </w:tr>
    </w:tbl>
    <w:p>
      <w:pPr>
        <w:spacing w:after="0"/>
        <w:jc w:val="center"/>
        <w:rPr>
          <w:rFonts w:ascii="Arial" w:hAnsi="Arial" w:eastAsia="Times New Roman" w:cs="Arial"/>
          <w:b/>
          <w:sz w:val="24"/>
          <w:szCs w:val="24"/>
          <w:lang w:eastAsia="pt-BR"/>
        </w:rPr>
      </w:pPr>
    </w:p>
    <w:p>
      <w:pPr>
        <w:spacing w:after="0" w:line="360" w:lineRule="auto"/>
        <w:jc w:val="both"/>
        <w:rPr>
          <w:rFonts w:ascii="Arial" w:hAnsi="Arial" w:eastAsia="Times New Roman" w:cs="Arial"/>
          <w:lang w:eastAsia="pt-BR"/>
        </w:rPr>
      </w:pPr>
    </w:p>
    <w:p>
      <w:pPr>
        <w:spacing w:after="0"/>
        <w:jc w:val="center"/>
        <w:rPr>
          <w:rFonts w:ascii="Arial" w:hAnsi="Arial" w:eastAsia="Times New Roman" w:cs="Arial"/>
          <w:b/>
          <w:lang w:eastAsia="pt-BR"/>
        </w:rPr>
      </w:pP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7"/>
        <w:gridCol w:w="2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27" w:type="dxa"/>
            <w:vAlign w:val="center"/>
          </w:tcPr>
          <w:p>
            <w:pPr>
              <w:spacing w:after="0"/>
              <w:jc w:val="center"/>
              <w:rPr>
                <w:rFonts w:hint="default" w:ascii="Arial" w:hAnsi="Arial" w:eastAsia="Times New Roman" w:cs="Arial"/>
                <w:b/>
                <w:sz w:val="24"/>
                <w:szCs w:val="24"/>
                <w:lang w:val="en-US"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PROGRAMAS</w:t>
            </w:r>
            <w:r>
              <w:rPr>
                <w:rFonts w:hint="default" w:ascii="Arial" w:hAnsi="Arial" w:eastAsia="Times New Roman" w:cs="Arial"/>
                <w:b/>
                <w:sz w:val="24"/>
                <w:szCs w:val="24"/>
                <w:lang w:val="en-US" w:eastAsia="pt-BR"/>
              </w:rPr>
              <w:t xml:space="preserve"> ATENDIDOS POR TERCEIRIZAÇÃO</w:t>
            </w:r>
          </w:p>
        </w:tc>
        <w:tc>
          <w:tcPr>
            <w:tcW w:w="2860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PUBLICO BENEFICIADO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27" w:type="dxa"/>
            <w:vAlign w:val="center"/>
          </w:tcPr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</w:p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</w:p>
          <w:p>
            <w:pPr>
              <w:spacing w:after="0"/>
              <w:jc w:val="both"/>
              <w:rPr>
                <w:rFonts w:hint="default" w:ascii="Arial" w:hAnsi="Arial" w:eastAsia="Times New Roman" w:cs="Arial"/>
                <w:b/>
                <w:sz w:val="24"/>
                <w:szCs w:val="24"/>
                <w:u w:val="single"/>
                <w:lang w:val="en-US"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  <w:t>ATENDIMENTO EM PSICOLOGIA</w:t>
            </w:r>
            <w:r>
              <w:rPr>
                <w:rFonts w:hint="default" w:ascii="Arial" w:hAnsi="Arial" w:eastAsia="Times New Roman" w:cs="Arial"/>
                <w:b/>
                <w:sz w:val="24"/>
                <w:szCs w:val="24"/>
                <w:u w:val="single"/>
                <w:lang w:val="en-US" w:eastAsia="pt-BR"/>
              </w:rPr>
              <w:t xml:space="preserve"> TERCEIRZADO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Nome da entidade: Castamann &amp; Panazollo</w:t>
            </w:r>
          </w:p>
          <w:p>
            <w:pPr>
              <w:spacing w:after="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Endereço da entidade: Rua Cel. Alberto Schmidt, 145 – Não-Me-Toque. 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Data de criação: 24/08/2007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Instrumento Normativo: Lei nº 8080 de 19 de setembro de 1990. Contrato Administrativo nº 389/12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Local: Unidade de Apoio/CCAP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Especificação/finalidade: Consultas e tratamento em psicologia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Rubrica Orçamentária: Manutenção da Assistência Médica 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Público Alvo: Pacientes encaminhados pela atenção básica e especializada que necessitam tratamento psicológico.</w:t>
            </w:r>
          </w:p>
        </w:tc>
        <w:tc>
          <w:tcPr>
            <w:tcW w:w="2860" w:type="dxa"/>
            <w:vAlign w:val="center"/>
          </w:tcPr>
          <w:p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2013: </w:t>
            </w:r>
            <w:r>
              <w:rPr>
                <w:rFonts w:ascii="Arial" w:hAnsi="Arial" w:cs="Arial"/>
                <w:sz w:val="24"/>
                <w:szCs w:val="24"/>
              </w:rPr>
              <w:t>2.195 Atendimentos Individuais</w:t>
            </w:r>
          </w:p>
          <w:p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797 horas de Grupos  </w:t>
            </w:r>
          </w:p>
          <w:p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2014: </w:t>
            </w:r>
            <w:r>
              <w:rPr>
                <w:rFonts w:ascii="Arial" w:hAnsi="Arial" w:cs="Arial"/>
                <w:sz w:val="24"/>
                <w:szCs w:val="24"/>
              </w:rPr>
              <w:t>1.995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Atendimentos Individuais</w:t>
            </w:r>
          </w:p>
          <w:p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956h 30min de Grupos </w:t>
            </w:r>
          </w:p>
          <w:p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2015: </w:t>
            </w:r>
            <w:r>
              <w:rPr>
                <w:rFonts w:ascii="Arial" w:hAnsi="Arial" w:cs="Arial"/>
                <w:sz w:val="24"/>
                <w:szCs w:val="24"/>
              </w:rPr>
              <w:t>1.758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Atendimentos Individuais</w:t>
            </w:r>
          </w:p>
          <w:p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1.012h 30min de Grupos  </w:t>
            </w:r>
          </w:p>
          <w:p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2016:</w:t>
            </w:r>
            <w:r>
              <w:rPr>
                <w:rFonts w:ascii="Arial" w:hAnsi="Arial" w:cs="Arial"/>
                <w:sz w:val="24"/>
                <w:szCs w:val="24"/>
              </w:rPr>
              <w:t xml:space="preserve"> 1.745 Atendimentos Individuais</w:t>
            </w:r>
          </w:p>
          <w:p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1.037h de Grupos</w:t>
            </w:r>
          </w:p>
          <w:p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2017:</w:t>
            </w:r>
            <w:r>
              <w:rPr>
                <w:rFonts w:ascii="Arial" w:hAnsi="Arial" w:cs="Arial"/>
                <w:sz w:val="24"/>
                <w:szCs w:val="24"/>
              </w:rPr>
              <w:t xml:space="preserve"> 1.726 atendimentos individuais</w:t>
            </w:r>
          </w:p>
          <w:p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1.127 h de grupos</w:t>
            </w:r>
          </w:p>
          <w:p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2018:</w:t>
            </w:r>
            <w:r>
              <w:rPr>
                <w:rFonts w:ascii="Arial" w:hAnsi="Arial" w:cs="Arial"/>
                <w:sz w:val="24"/>
                <w:szCs w:val="24"/>
              </w:rPr>
              <w:t xml:space="preserve"> 1.764 atendimentos individuais </w:t>
            </w:r>
          </w:p>
          <w:p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1.088 hs de grupos</w:t>
            </w:r>
          </w:p>
          <w:p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pt-BR"/>
              </w:rPr>
              <w:t xml:space="preserve">2019: </w:t>
            </w:r>
            <w:r>
              <w:rPr>
                <w:rFonts w:hint="default" w:ascii="Arial" w:hAnsi="Arial" w:eastAsia="Times New Roman" w:cs="Arial"/>
                <w:b w:val="0"/>
                <w:bCs w:val="0"/>
                <w:sz w:val="24"/>
                <w:szCs w:val="24"/>
                <w:lang w:val="en-US" w:eastAsia="pt-BR"/>
              </w:rPr>
              <w:t>1.941 atendimentos individuais</w:t>
            </w:r>
          </w:p>
          <w:p>
            <w:pPr>
              <w:spacing w:after="0" w:line="360" w:lineRule="auto"/>
              <w:ind w:firstLine="720" w:firstLineChars="30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</w:pPr>
            <w:r>
              <w:rPr>
                <w:rFonts w:hint="default" w:ascii="Arial" w:hAnsi="Arial" w:eastAsia="Times New Roman" w:cs="Arial"/>
                <w:b w:val="0"/>
                <w:bCs w:val="0"/>
                <w:sz w:val="24"/>
                <w:szCs w:val="24"/>
                <w:lang w:val="en-US" w:eastAsia="pt-BR"/>
              </w:rPr>
              <w:t>1.151 hs de grupos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27" w:type="dxa"/>
            <w:vAlign w:val="center"/>
          </w:tcPr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2860" w:type="dxa"/>
            <w:vAlign w:val="center"/>
          </w:tcPr>
          <w:p>
            <w:pPr>
              <w:spacing w:after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27" w:type="dxa"/>
            <w:vAlign w:val="center"/>
          </w:tcPr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</w:p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  <w:t>SERVIÇO DE FISIOTERAPIA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Nome da entidade: Michele Pereira Viau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Data de criação: 16/05/2011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Endereço: Av. Dr. Waldomiro Graeff, 977-sala 10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Instrumento Normativo: Lei nº 8080 de 19 de setembro de 1990. Credenciamento nº 06/2015 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Especificação/finalidade: Agendamento de sessões de fisioterapia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Rubrica Orçamentária: Manutenção da Assistência Médica e Odontológica 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Público Alvo: População em geral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2860" w:type="dxa"/>
            <w:vAlign w:val="center"/>
          </w:tcPr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2013: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128 sessões 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2014: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188 sessões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2015: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227 sessões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2016: Iniciou somente em abril: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123 sessões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2017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: 448 sessões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2018: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763 sessões</w:t>
            </w:r>
          </w:p>
          <w:p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pt-BR"/>
              </w:rPr>
              <w:t>2019: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  <w:t xml:space="preserve"> 875 sessões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27" w:type="dxa"/>
            <w:vAlign w:val="center"/>
          </w:tcPr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2860" w:type="dxa"/>
            <w:vAlign w:val="center"/>
          </w:tcPr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27" w:type="dxa"/>
            <w:vAlign w:val="center"/>
          </w:tcPr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</w:p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  <w:t>SERVIÇO DE FISIOTERAPIA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Nome da entidade: Hospital Notre Dame Julia Billiart 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Data de criação: 11/09/2015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Endereço: Rua Cel. Alberto Schmidt, 515, centro, Não-Me-Toque.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Instrumento Normativo: Lei nº 8080 de 19 de setembro de 1990. Credenciamento nº 06/2015. Contrato do Hospital com o Estado do Rio Grande do Sul.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Especificação/finalidade: Agendamento de sessões de fisioterapia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Rubrica Orçamentária: Manutenção da Assistência Médica e Odontológica 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Público Alvo: Pacientes com prescrição para tratamento fisioterápico.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2860" w:type="dxa"/>
            <w:vAlign w:val="center"/>
          </w:tcPr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2013: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Não houve contrato nesse ano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2014: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Não houve contrato nesse ano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2015: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100 sessões</w:t>
            </w: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 (**)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2016: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3.353(SUS) + 182 (COMAJA) sessões (**)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2017: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474 sessões pelo credenciamento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           3.353 (SUS) 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2018: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907 sessões pelo credenciamento 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b w:val="0"/>
                <w:bCs w:val="0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FF0000"/>
                <w:sz w:val="24"/>
                <w:szCs w:val="24"/>
                <w:lang w:eastAsia="pt-BR"/>
              </w:rPr>
              <w:t xml:space="preserve">              </w:t>
            </w:r>
            <w:r>
              <w:rPr>
                <w:rFonts w:ascii="Arial" w:hAnsi="Arial" w:eastAsia="Times New Roman" w:cs="Arial"/>
                <w:b w:val="0"/>
                <w:bCs w:val="0"/>
                <w:color w:val="auto"/>
                <w:sz w:val="24"/>
                <w:szCs w:val="24"/>
                <w:lang w:eastAsia="pt-BR"/>
              </w:rPr>
              <w:t>3.268 (SUS)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auto"/>
                <w:sz w:val="24"/>
                <w:szCs w:val="24"/>
                <w:lang w:val="en-US" w:eastAsia="pt-BR"/>
              </w:rPr>
              <w:t xml:space="preserve">2019: </w:t>
            </w:r>
            <w:r>
              <w:rPr>
                <w:rFonts w:hint="default" w:ascii="Arial" w:hAnsi="Arial" w:eastAsia="Times New Roman" w:cs="Arial"/>
                <w:b w:val="0"/>
                <w:bCs w:val="0"/>
                <w:color w:val="auto"/>
                <w:sz w:val="24"/>
                <w:szCs w:val="24"/>
                <w:lang w:val="en-US" w:eastAsia="pt-BR"/>
              </w:rPr>
              <w:t>1.223 sessões pelo credenciamento  e 3.202 pelo SUS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27" w:type="dxa"/>
            <w:vAlign w:val="center"/>
          </w:tcPr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</w:p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  <w:t>OXIGENIOTERAPIA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Data de criação: 01/03/2010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Instrumento Normativo: Lei nº 8080 de 19 de setembro de 1990. Contrato Administrativo nº 198/2014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Especificação/finalidade: Fornecimento de tubos de oxigênio e cargas de oxigênio.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Rubrica Orçamentária: Manutenção da Assistência Médica 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Público Alvo: Pacientes com insuficiência respiratória.</w:t>
            </w:r>
          </w:p>
        </w:tc>
        <w:tc>
          <w:tcPr>
            <w:tcW w:w="2860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2013: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217 locações e 139 cargas  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2014: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203 locações e 101 cargas  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2015: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260 locações e 159 cargas</w:t>
            </w:r>
          </w:p>
          <w:p>
            <w:pPr>
              <w:spacing w:after="0"/>
              <w:ind w:left="9"/>
              <w:contextualSpacing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2016: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266 locações e 187 cargas</w:t>
            </w:r>
          </w:p>
          <w:p>
            <w:pPr>
              <w:spacing w:after="0"/>
              <w:ind w:left="9"/>
              <w:contextualSpacing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2017: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246 locações e 89 cargas</w:t>
            </w:r>
          </w:p>
          <w:p>
            <w:pPr>
              <w:spacing w:after="0"/>
              <w:ind w:left="9"/>
              <w:contextualSpacing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2018: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 237 locações e 139 cargas</w:t>
            </w:r>
          </w:p>
          <w:p>
            <w:pPr>
              <w:spacing w:after="0"/>
              <w:ind w:left="9"/>
              <w:contextualSpacing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pt-BR"/>
              </w:rPr>
              <w:t>2019: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  <w:t xml:space="preserve"> 202 locações e 144 cargas</w:t>
            </w:r>
          </w:p>
          <w:p>
            <w:pPr>
              <w:spacing w:after="0"/>
              <w:ind w:left="9"/>
              <w:contextualSpacing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  <w:t>.</w:t>
            </w:r>
          </w:p>
          <w:p>
            <w:pPr>
              <w:spacing w:after="0"/>
              <w:jc w:val="center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27" w:type="dxa"/>
            <w:vAlign w:val="center"/>
          </w:tcPr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  <w:t>PROGRAMA DE CONFECÇÃO DE PRÓTESES BUCAIS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Data de criação: 03/07/2015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Instrumento Normativo: Lei nº 8080 de 19 de setembro de 1990. 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Especificação/finalidade: Fornecimento de próteses bucais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Rubrica Orçamentária: Manutenção da Assistência Médica e Odontológica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Público Alvo: População com necessidade de implantação de prótese bucal.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860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2013: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8 a 10 próteses mensais. (Fornecimento por outra empresa)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2014: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8 a 10 próteses mensais. (Fornecimento por outra empresa)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2015: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87 próteses</w:t>
            </w:r>
          </w:p>
          <w:p>
            <w:pPr>
              <w:spacing w:after="0" w:line="360" w:lineRule="auto"/>
              <w:ind w:left="9"/>
              <w:contextualSpacing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2016: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83 próteses</w:t>
            </w:r>
          </w:p>
          <w:p>
            <w:pPr>
              <w:spacing w:after="0" w:line="360" w:lineRule="auto"/>
              <w:ind w:left="9"/>
              <w:contextualSpacing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2017: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72 próteses</w:t>
            </w:r>
          </w:p>
          <w:p>
            <w:pPr>
              <w:spacing w:after="0" w:line="360" w:lineRule="auto"/>
              <w:ind w:left="9"/>
              <w:contextualSpacing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2018: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85 próteses</w:t>
            </w:r>
          </w:p>
          <w:p>
            <w:pPr>
              <w:spacing w:after="0" w:line="360" w:lineRule="auto"/>
              <w:ind w:left="9"/>
              <w:contextualSpacing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pt-BR"/>
              </w:rPr>
              <w:t>2019: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  <w:t xml:space="preserve"> 80 próteses</w:t>
            </w:r>
          </w:p>
          <w:p>
            <w:pPr>
              <w:spacing w:after="0" w:line="360" w:lineRule="auto"/>
              <w:ind w:left="9"/>
              <w:contextualSpacing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27" w:type="dxa"/>
            <w:vAlign w:val="center"/>
          </w:tcPr>
          <w:p>
            <w:pPr>
              <w:spacing w:after="0"/>
              <w:jc w:val="both"/>
              <w:rPr>
                <w:rFonts w:hint="default" w:ascii="Arial" w:hAnsi="Arial" w:eastAsia="Times New Roman" w:cs="Arial"/>
                <w:b/>
                <w:sz w:val="24"/>
                <w:szCs w:val="24"/>
                <w:lang w:val="en-US" w:eastAsia="pt-BR"/>
              </w:rPr>
            </w:pPr>
          </w:p>
        </w:tc>
        <w:tc>
          <w:tcPr>
            <w:tcW w:w="2860" w:type="dxa"/>
            <w:vAlign w:val="center"/>
          </w:tcPr>
          <w:p>
            <w:pPr>
              <w:spacing w:after="0" w:line="360" w:lineRule="auto"/>
              <w:ind w:left="9"/>
              <w:contextualSpacing/>
              <w:jc w:val="both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27" w:type="dxa"/>
            <w:vAlign w:val="center"/>
          </w:tcPr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  <w:t>SERVIÇO DE TRANSPORTE DE PACIENTES COM LINHAS DE ONIBUS COMERCIAL (VALE SAÚDE)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Data de criação: 24/10/2012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Instrumento Normativo: Lei nº 8080 de 19 de setembro de 1990. Especificação/finalidade: Transporte para consulta com ônibus de linha-serviço suplementar a referência de longa distância (Capital).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Rubrica Orçamentária: Manutenção da Secretaria de Saúde 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Público Alvo: Pacientes que necessitam transporte a capital para tratamento de saúde, quando há indisponibilidade de veículo da Secretaria.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2860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2013: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150 passagens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2014: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158 passagens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2015: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130 passagens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2016: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140 passagens.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2017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: 188 passagens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2018: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118 passagens</w:t>
            </w:r>
          </w:p>
          <w:p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pt-BR"/>
              </w:rPr>
              <w:t xml:space="preserve">2019: </w:t>
            </w:r>
            <w:r>
              <w:rPr>
                <w:rFonts w:hint="default" w:ascii="Arial" w:hAnsi="Arial" w:eastAsia="Times New Roman" w:cs="Arial"/>
                <w:b w:val="0"/>
                <w:bCs w:val="0"/>
                <w:sz w:val="24"/>
                <w:szCs w:val="24"/>
                <w:lang w:val="en-US" w:eastAsia="pt-BR"/>
              </w:rPr>
              <w:t>180 passagens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27" w:type="dxa"/>
            <w:vAlign w:val="center"/>
          </w:tcPr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  <w:t>SERVIÇO DE FONOAUDIOLOGIA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Data de criação: 07/03/2008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Instrumento Normativo: Lei nº 8080 de 19 de setembro de 1990. 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Especificação/finalidade: Consultas com fonoaudiólogo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Rubrica Orçamentária: Manutenção da Assistência Médica e Odontológica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Público Alvo: Pacientes com deficiência fonoaudiológica, especialmente crianças.</w:t>
            </w:r>
          </w:p>
        </w:tc>
        <w:tc>
          <w:tcPr>
            <w:tcW w:w="2860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2013: </w:t>
            </w:r>
            <w:r>
              <w:rPr>
                <w:rFonts w:hint="default" w:ascii="Arial" w:hAnsi="Arial" w:eastAsia="Times New Roman" w:cs="Arial"/>
                <w:b w:val="0"/>
                <w:bCs/>
                <w:sz w:val="24"/>
                <w:szCs w:val="24"/>
                <w:lang w:val="en-US" w:eastAsia="pt-BR"/>
              </w:rPr>
              <w:t xml:space="preserve">1.076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atendimentos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2014: </w:t>
            </w:r>
            <w:r>
              <w:rPr>
                <w:rFonts w:hint="default" w:ascii="Arial" w:hAnsi="Arial" w:eastAsia="Times New Roman" w:cs="Arial"/>
                <w:b/>
                <w:sz w:val="24"/>
                <w:szCs w:val="24"/>
                <w:lang w:val="en-US" w:eastAsia="pt-BR"/>
              </w:rPr>
              <w:t>1.175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atendimentos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2015:</w:t>
            </w:r>
            <w:r>
              <w:rPr>
                <w:rFonts w:hint="default" w:ascii="Arial" w:hAnsi="Arial" w:eastAsia="Times New Roman" w:cs="Arial"/>
                <w:b/>
                <w:sz w:val="24"/>
                <w:szCs w:val="24"/>
                <w:lang w:val="en-US" w:eastAsia="pt-BR"/>
              </w:rPr>
              <w:t xml:space="preserve"> 1.116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atendimentos</w:t>
            </w:r>
          </w:p>
          <w:p>
            <w:pPr>
              <w:spacing w:after="0" w:line="360" w:lineRule="auto"/>
              <w:ind w:left="9"/>
              <w:contextualSpacing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2016: </w:t>
            </w:r>
            <w:r>
              <w:rPr>
                <w:rFonts w:hint="default" w:ascii="Arial" w:hAnsi="Arial" w:eastAsia="Times New Roman" w:cs="Arial"/>
                <w:b/>
                <w:sz w:val="24"/>
                <w:szCs w:val="24"/>
                <w:lang w:val="en-US" w:eastAsia="pt-BR"/>
              </w:rPr>
              <w:t>1.200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  <w:t>a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tendimentos</w:t>
            </w:r>
          </w:p>
          <w:p>
            <w:pPr>
              <w:spacing w:after="0" w:line="360" w:lineRule="auto"/>
              <w:ind w:left="9"/>
              <w:contextualSpacing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2017: </w:t>
            </w:r>
            <w:r>
              <w:rPr>
                <w:rFonts w:hint="default" w:ascii="Arial" w:hAnsi="Arial" w:eastAsia="Times New Roman" w:cs="Arial"/>
                <w:b/>
                <w:sz w:val="24"/>
                <w:szCs w:val="24"/>
                <w:lang w:val="en-US" w:eastAsia="pt-BR"/>
              </w:rPr>
              <w:t>1.308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atendimentos</w:t>
            </w:r>
          </w:p>
          <w:p>
            <w:pPr>
              <w:spacing w:after="0" w:line="360" w:lineRule="auto"/>
              <w:ind w:left="9"/>
              <w:contextualSpacing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2018: </w:t>
            </w:r>
            <w:r>
              <w:rPr>
                <w:rFonts w:hint="default" w:ascii="Arial" w:hAnsi="Arial" w:eastAsia="Times New Roman" w:cs="Arial"/>
                <w:b/>
                <w:sz w:val="24"/>
                <w:szCs w:val="24"/>
                <w:lang w:val="en-US" w:eastAsia="pt-BR"/>
              </w:rPr>
              <w:t>432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atendimentos (em abril encerrou o contrato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  <w:t>-passando a atender pelo consórcio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27" w:type="dxa"/>
            <w:vAlign w:val="center"/>
          </w:tcPr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860" w:type="dxa"/>
            <w:vAlign w:val="center"/>
          </w:tcPr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27" w:type="dxa"/>
            <w:vAlign w:val="center"/>
          </w:tcPr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  <w:t>SERVIÇO DE URGÊNCIA E EMERGÊNCIA HOSPITALAR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Nome: Hospital Beneficência Alto Jacuí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Data de início: 23 de maio de 2016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Endereço: Av. Dr. Waldomiro Graeff, 810, Centro, Não-Me-Toque.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Instrumento Normativo: Lei nº 8080 de 19 de setembro de 1990. Contratos administrativos emergenciais nº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Especificação/finalidade: Atendimento de urgência e emergência em âmbito hospitalar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Rubrica Orçamentária: Apoio a Entidades de Saúde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Público Alvo: Atendimento de urgência e emergência a população em geral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860" w:type="dxa"/>
            <w:vAlign w:val="center"/>
          </w:tcPr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</w:p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</w:p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Iniciado em 23/05/2016.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2016-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5.686 atendimento até novembro 2016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2017: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14.770 atendimentos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2018: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17.786 atendimentos</w:t>
            </w:r>
          </w:p>
          <w:p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pt-BR"/>
              </w:rPr>
              <w:t xml:space="preserve">2019: </w:t>
            </w:r>
            <w:r>
              <w:rPr>
                <w:rFonts w:hint="default" w:ascii="Arial" w:hAnsi="Arial" w:eastAsia="Times New Roman" w:cs="Arial"/>
                <w:b w:val="0"/>
                <w:bCs w:val="0"/>
                <w:sz w:val="24"/>
                <w:szCs w:val="24"/>
                <w:lang w:val="en-US" w:eastAsia="pt-BR"/>
              </w:rPr>
              <w:t>20.473 atendimentos e</w:t>
            </w:r>
            <w:r>
              <w:rPr>
                <w:rFonts w:hint="default" w:ascii="Arial" w:hAnsi="Arial" w:eastAsia="Times New Roman" w:cs="Arial"/>
                <w:b w:val="0"/>
                <w:bCs w:val="0"/>
                <w:color w:val="FF0000"/>
                <w:sz w:val="24"/>
                <w:szCs w:val="24"/>
                <w:lang w:val="en-US" w:eastAsia="pt-BR"/>
              </w:rPr>
              <w:t xml:space="preserve"> </w:t>
            </w:r>
            <w:r>
              <w:rPr>
                <w:rFonts w:hint="default" w:ascii="Arial" w:hAnsi="Arial" w:eastAsia="Times New Roman" w:cs="Arial"/>
                <w:b w:val="0"/>
                <w:bCs w:val="0"/>
                <w:color w:val="auto"/>
                <w:sz w:val="24"/>
                <w:szCs w:val="24"/>
                <w:lang w:val="en-US" w:eastAsia="pt-BR"/>
              </w:rPr>
              <w:t>25 cirurgias eletivas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27" w:type="dxa"/>
            <w:vAlign w:val="center"/>
          </w:tcPr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860" w:type="dxa"/>
            <w:vAlign w:val="center"/>
          </w:tcPr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27" w:type="dxa"/>
            <w:vAlign w:val="center"/>
          </w:tcPr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2860" w:type="dxa"/>
            <w:vAlign w:val="center"/>
          </w:tcPr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27" w:type="dxa"/>
            <w:vAlign w:val="center"/>
          </w:tcPr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  <w:t>SERVIÇO DE GINECOLOGIA, OBSTETRÍCIA E EXAMES</w:t>
            </w:r>
            <w:r>
              <w:rPr>
                <w:rFonts w:hint="default" w:ascii="Arial" w:hAnsi="Arial" w:eastAsia="Times New Roman" w:cs="Arial"/>
                <w:b/>
                <w:sz w:val="24"/>
                <w:szCs w:val="24"/>
                <w:u w:val="single"/>
                <w:lang w:val="en-US" w:eastAsia="pt-BR"/>
              </w:rPr>
              <w:t xml:space="preserve"> TERCEIRIZADOS</w:t>
            </w:r>
            <w:r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  <w:t>.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Data de criação: 09/09/2008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Instrumento Normativo: Lei nº 8080 de 19 de setembro de 1990. Contrato administrativo nº 293/2015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Especificação/finalidade: Consultas especializadas em ginecologia, obstetrícia, pré-natal, exames de colposcopia, biopsia de mama, vulva e colo uterino e cauterização de colo uterino.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Rubrica orçamentária: Manutenção da Assistência médica a população e Manutenção a Assistência medica e odontológica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Público Alvo: Pacientes Mulheres e gestantes</w:t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2860" w:type="dxa"/>
            <w:vAlign w:val="center"/>
          </w:tcPr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2013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: 1.187 consultas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        187 exames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2014: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1.465 consultas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       217 exames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2015: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1.419 consultas</w:t>
            </w:r>
          </w:p>
          <w:p>
            <w:pPr>
              <w:numPr>
                <w:ilvl w:val="0"/>
                <w:numId w:val="3"/>
              </w:numPr>
              <w:spacing w:after="0" w:line="360" w:lineRule="auto"/>
              <w:contextualSpacing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exames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2016: 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1.353 consultas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          170 exames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2017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: 1.451 consultas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           253 exames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2018:</w:t>
            </w: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984 consultas 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 xml:space="preserve">           116 exames</w:t>
            </w:r>
          </w:p>
          <w:p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b w:val="0"/>
                <w:bCs w:val="0"/>
                <w:sz w:val="24"/>
                <w:szCs w:val="24"/>
                <w:lang w:val="en-US" w:eastAsia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pt-BR"/>
              </w:rPr>
              <w:t xml:space="preserve">2019: </w:t>
            </w:r>
            <w:r>
              <w:rPr>
                <w:rFonts w:hint="default" w:ascii="Arial" w:hAnsi="Arial" w:eastAsia="Times New Roman" w:cs="Arial"/>
                <w:b w:val="0"/>
                <w:bCs w:val="0"/>
                <w:sz w:val="24"/>
                <w:szCs w:val="24"/>
                <w:lang w:val="en-US" w:eastAsia="pt-BR"/>
              </w:rPr>
              <w:t>654 consultas</w:t>
            </w:r>
          </w:p>
          <w:p>
            <w:pPr>
              <w:spacing w:after="0" w:line="360" w:lineRule="auto"/>
              <w:ind w:firstLine="720" w:firstLineChars="300"/>
              <w:jc w:val="both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pt-BR"/>
              </w:rPr>
            </w:pPr>
            <w:r>
              <w:rPr>
                <w:rFonts w:hint="default" w:ascii="Arial" w:hAnsi="Arial" w:eastAsia="Times New Roman" w:cs="Arial"/>
                <w:b w:val="0"/>
                <w:bCs w:val="0"/>
                <w:sz w:val="24"/>
                <w:szCs w:val="24"/>
                <w:lang w:val="en-US" w:eastAsia="pt-BR"/>
              </w:rPr>
              <w:t>143 exames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27" w:type="dxa"/>
            <w:vAlign w:val="center"/>
          </w:tcPr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860" w:type="dxa"/>
            <w:vAlign w:val="center"/>
          </w:tcPr>
          <w:p>
            <w:pPr>
              <w:spacing w:after="0" w:line="360" w:lineRule="auto"/>
              <w:ind w:left="9"/>
              <w:contextualSpacing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27" w:type="dxa"/>
          </w:tcPr>
          <w:p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860" w:type="dxa"/>
          </w:tcPr>
          <w:p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pt-BR"/>
              </w:rPr>
            </w:pPr>
          </w:p>
        </w:tc>
      </w:tr>
    </w:tbl>
    <w:p>
      <w:pPr>
        <w:spacing w:after="0"/>
        <w:jc w:val="center"/>
        <w:rPr>
          <w:rFonts w:ascii="Arial" w:hAnsi="Arial" w:eastAsia="Times New Roman" w:cs="Arial"/>
          <w:b/>
          <w:sz w:val="24"/>
          <w:szCs w:val="24"/>
          <w:lang w:eastAsia="pt-BR"/>
        </w:rPr>
      </w:pPr>
    </w:p>
    <w:p>
      <w:pPr>
        <w:spacing w:after="0"/>
        <w:rPr>
          <w:rFonts w:ascii="Arial" w:hAnsi="Arial" w:eastAsia="Times New Roman" w:cs="Arial"/>
          <w:b/>
          <w:sz w:val="24"/>
          <w:szCs w:val="24"/>
          <w:u w:val="single"/>
          <w:lang w:eastAsia="pt-BR"/>
        </w:rPr>
      </w:pPr>
    </w:p>
    <w:p>
      <w:pPr>
        <w:spacing w:after="0"/>
        <w:rPr>
          <w:rFonts w:ascii="Arial" w:hAnsi="Arial" w:eastAsia="Times New Roman" w:cs="Arial"/>
          <w:b/>
          <w:sz w:val="24"/>
          <w:szCs w:val="24"/>
          <w:u w:val="single"/>
          <w:lang w:eastAsia="pt-BR"/>
        </w:rPr>
      </w:pPr>
    </w:p>
    <w:p>
      <w:pPr>
        <w:rPr>
          <w:rFonts w:hint="default"/>
          <w:lang w:val="pt-BR"/>
        </w:rPr>
      </w:pPr>
    </w:p>
    <w:p>
      <w:pPr>
        <w:rPr>
          <w:rFonts w:hint="default"/>
          <w:lang w:val="pt-BR"/>
        </w:rPr>
      </w:pPr>
    </w:p>
    <w:sectPr>
      <w:headerReference r:id="rId3" w:type="default"/>
      <w:pgSz w:w="11906" w:h="16838"/>
      <w:pgMar w:top="2835" w:right="1134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09812814"/>
      <w:docPartObj>
        <w:docPartGallery w:val="autotext"/>
      </w:docPartObj>
    </w:sdtPr>
    <w:sdtContent>
      <w:p>
        <w:pPr>
          <w:pStyle w:val="9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22</w:t>
        </w:r>
        <w:r>
          <w:fldChar w:fldCharType="end"/>
        </w:r>
      </w:p>
    </w:sdtContent>
  </w:sdt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6A29"/>
    <w:multiLevelType w:val="multilevel"/>
    <w:tmpl w:val="019F6A2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B546C0D"/>
    <w:multiLevelType w:val="multilevel"/>
    <w:tmpl w:val="5B546C0D"/>
    <w:lvl w:ilvl="0" w:tentative="0">
      <w:start w:val="2016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2CE4793"/>
    <w:multiLevelType w:val="multilevel"/>
    <w:tmpl w:val="62CE4793"/>
    <w:lvl w:ilvl="0" w:tentative="0">
      <w:start w:val="176"/>
      <w:numFmt w:val="decimal"/>
      <w:lvlText w:val="%1"/>
      <w:lvlJc w:val="left"/>
      <w:pPr>
        <w:ind w:left="1065" w:hanging="40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40" w:hanging="360"/>
      </w:pPr>
    </w:lvl>
    <w:lvl w:ilvl="2" w:tentative="0">
      <w:start w:val="1"/>
      <w:numFmt w:val="lowerRoman"/>
      <w:lvlText w:val="%3."/>
      <w:lvlJc w:val="right"/>
      <w:pPr>
        <w:ind w:left="2460" w:hanging="180"/>
      </w:pPr>
    </w:lvl>
    <w:lvl w:ilvl="3" w:tentative="0">
      <w:start w:val="1"/>
      <w:numFmt w:val="decimal"/>
      <w:lvlText w:val="%4."/>
      <w:lvlJc w:val="left"/>
      <w:pPr>
        <w:ind w:left="3180" w:hanging="360"/>
      </w:pPr>
    </w:lvl>
    <w:lvl w:ilvl="4" w:tentative="0">
      <w:start w:val="1"/>
      <w:numFmt w:val="lowerLetter"/>
      <w:lvlText w:val="%5."/>
      <w:lvlJc w:val="left"/>
      <w:pPr>
        <w:ind w:left="3900" w:hanging="360"/>
      </w:pPr>
    </w:lvl>
    <w:lvl w:ilvl="5" w:tentative="0">
      <w:start w:val="1"/>
      <w:numFmt w:val="lowerRoman"/>
      <w:lvlText w:val="%6."/>
      <w:lvlJc w:val="right"/>
      <w:pPr>
        <w:ind w:left="4620" w:hanging="180"/>
      </w:pPr>
    </w:lvl>
    <w:lvl w:ilvl="6" w:tentative="0">
      <w:start w:val="1"/>
      <w:numFmt w:val="decimal"/>
      <w:lvlText w:val="%7."/>
      <w:lvlJc w:val="left"/>
      <w:pPr>
        <w:ind w:left="5340" w:hanging="360"/>
      </w:pPr>
    </w:lvl>
    <w:lvl w:ilvl="7" w:tentative="0">
      <w:start w:val="1"/>
      <w:numFmt w:val="lowerLetter"/>
      <w:lvlText w:val="%8."/>
      <w:lvlJc w:val="left"/>
      <w:pPr>
        <w:ind w:left="6060" w:hanging="360"/>
      </w:pPr>
    </w:lvl>
    <w:lvl w:ilvl="8" w:tentative="0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8C7"/>
    <w:rsid w:val="00093733"/>
    <w:rsid w:val="000F031B"/>
    <w:rsid w:val="000F44A4"/>
    <w:rsid w:val="0013562F"/>
    <w:rsid w:val="00257D70"/>
    <w:rsid w:val="002717ED"/>
    <w:rsid w:val="00295505"/>
    <w:rsid w:val="002B54B5"/>
    <w:rsid w:val="002F5AD5"/>
    <w:rsid w:val="00307ED2"/>
    <w:rsid w:val="00374EE4"/>
    <w:rsid w:val="00382818"/>
    <w:rsid w:val="003A7C11"/>
    <w:rsid w:val="0044501B"/>
    <w:rsid w:val="0045308D"/>
    <w:rsid w:val="00464190"/>
    <w:rsid w:val="004708BD"/>
    <w:rsid w:val="0048568A"/>
    <w:rsid w:val="00487E6F"/>
    <w:rsid w:val="004A2E16"/>
    <w:rsid w:val="004C6C25"/>
    <w:rsid w:val="0056059B"/>
    <w:rsid w:val="00560C20"/>
    <w:rsid w:val="005774E9"/>
    <w:rsid w:val="005E4C5E"/>
    <w:rsid w:val="006A4C73"/>
    <w:rsid w:val="006A5FBC"/>
    <w:rsid w:val="006C5CE8"/>
    <w:rsid w:val="006E633B"/>
    <w:rsid w:val="00760686"/>
    <w:rsid w:val="0078784C"/>
    <w:rsid w:val="00822F97"/>
    <w:rsid w:val="008E76F9"/>
    <w:rsid w:val="0091242A"/>
    <w:rsid w:val="00981755"/>
    <w:rsid w:val="009B068B"/>
    <w:rsid w:val="009D4734"/>
    <w:rsid w:val="009E3E9E"/>
    <w:rsid w:val="009F4571"/>
    <w:rsid w:val="00A06607"/>
    <w:rsid w:val="00A229D0"/>
    <w:rsid w:val="00A450E5"/>
    <w:rsid w:val="00A4538B"/>
    <w:rsid w:val="00A501F2"/>
    <w:rsid w:val="00AD256C"/>
    <w:rsid w:val="00AE4DE5"/>
    <w:rsid w:val="00B407C7"/>
    <w:rsid w:val="00B767D3"/>
    <w:rsid w:val="00BC11DD"/>
    <w:rsid w:val="00BE1A73"/>
    <w:rsid w:val="00C1391D"/>
    <w:rsid w:val="00D30B43"/>
    <w:rsid w:val="00D315F7"/>
    <w:rsid w:val="00D878C7"/>
    <w:rsid w:val="00DE2A11"/>
    <w:rsid w:val="00DF1125"/>
    <w:rsid w:val="00E45639"/>
    <w:rsid w:val="00E64452"/>
    <w:rsid w:val="00EB5B1E"/>
    <w:rsid w:val="00EB76E0"/>
    <w:rsid w:val="00EC51E2"/>
    <w:rsid w:val="00EC60E0"/>
    <w:rsid w:val="00F142CA"/>
    <w:rsid w:val="00F5113D"/>
    <w:rsid w:val="00F64A2E"/>
    <w:rsid w:val="00FD567C"/>
    <w:rsid w:val="028C0C0B"/>
    <w:rsid w:val="03BF3DEF"/>
    <w:rsid w:val="07C07F42"/>
    <w:rsid w:val="0BBC546D"/>
    <w:rsid w:val="0C1405E9"/>
    <w:rsid w:val="0D8E40D0"/>
    <w:rsid w:val="0EEA2DD4"/>
    <w:rsid w:val="0F1F3DA9"/>
    <w:rsid w:val="10F9160A"/>
    <w:rsid w:val="1236240A"/>
    <w:rsid w:val="17F35D71"/>
    <w:rsid w:val="1868694E"/>
    <w:rsid w:val="1FA57E23"/>
    <w:rsid w:val="1FB50AD1"/>
    <w:rsid w:val="22871840"/>
    <w:rsid w:val="23866298"/>
    <w:rsid w:val="24675008"/>
    <w:rsid w:val="271565AE"/>
    <w:rsid w:val="2B843CF8"/>
    <w:rsid w:val="2BF52ABA"/>
    <w:rsid w:val="2C433376"/>
    <w:rsid w:val="2E607084"/>
    <w:rsid w:val="33125F9F"/>
    <w:rsid w:val="349F6194"/>
    <w:rsid w:val="37ED1E8F"/>
    <w:rsid w:val="38337F84"/>
    <w:rsid w:val="3C4A482A"/>
    <w:rsid w:val="42EC1278"/>
    <w:rsid w:val="44C21B40"/>
    <w:rsid w:val="45807A84"/>
    <w:rsid w:val="45E11E8F"/>
    <w:rsid w:val="4876620E"/>
    <w:rsid w:val="4B5F039C"/>
    <w:rsid w:val="4C4211A2"/>
    <w:rsid w:val="4DE91F20"/>
    <w:rsid w:val="4E3A6827"/>
    <w:rsid w:val="51B96443"/>
    <w:rsid w:val="622319D0"/>
    <w:rsid w:val="64F35BCC"/>
    <w:rsid w:val="652202EF"/>
    <w:rsid w:val="66343BBA"/>
    <w:rsid w:val="675E5B43"/>
    <w:rsid w:val="6BD1204D"/>
    <w:rsid w:val="6F8D7C8F"/>
    <w:rsid w:val="741D2C47"/>
    <w:rsid w:val="79B01B18"/>
    <w:rsid w:val="7C400F60"/>
    <w:rsid w:val="7FFA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spacing w:after="0"/>
      <w:outlineLvl w:val="0"/>
    </w:pPr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paragraph" w:styleId="3">
    <w:name w:val="heading 3"/>
    <w:basedOn w:val="1"/>
    <w:next w:val="1"/>
    <w:link w:val="2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4"/>
      <w:szCs w:val="24"/>
      <w:lang w:eastAsia="pt-BR"/>
      <w14:textFill>
        <w14:solidFill>
          <w14:schemeClr w14:val="accent1"/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2"/>
    <w:basedOn w:val="1"/>
    <w:next w:val="1"/>
    <w:semiHidden/>
    <w:unhideWhenUsed/>
    <w:qFormat/>
    <w:uiPriority w:val="39"/>
    <w:pPr>
      <w:tabs>
        <w:tab w:val="right" w:leader="dot" w:pos="8505"/>
      </w:tabs>
      <w:spacing w:after="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5">
    <w:name w:val="Body Text"/>
    <w:basedOn w:val="1"/>
    <w:link w:val="21"/>
    <w:unhideWhenUsed/>
    <w:qFormat/>
    <w:uiPriority w:val="0"/>
    <w:pPr>
      <w:spacing w:after="0"/>
      <w:jc w:val="both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6">
    <w:name w:val="Body Text Indent 2"/>
    <w:basedOn w:val="1"/>
    <w:link w:val="25"/>
    <w:semiHidden/>
    <w:unhideWhenUsed/>
    <w:qFormat/>
    <w:uiPriority w:val="99"/>
    <w:pPr>
      <w:spacing w:after="120" w:line="480" w:lineRule="auto"/>
      <w:ind w:left="283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8">
    <w:name w:val="Body Text 2"/>
    <w:basedOn w:val="1"/>
    <w:link w:val="24"/>
    <w:semiHidden/>
    <w:unhideWhenUsed/>
    <w:qFormat/>
    <w:uiPriority w:val="99"/>
    <w:pPr>
      <w:spacing w:after="120" w:line="48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9">
    <w:name w:val="header"/>
    <w:basedOn w:val="1"/>
    <w:link w:val="27"/>
    <w:unhideWhenUsed/>
    <w:qFormat/>
    <w:uiPriority w:val="99"/>
    <w:pPr>
      <w:tabs>
        <w:tab w:val="center" w:pos="4252"/>
        <w:tab w:val="right" w:pos="8504"/>
      </w:tabs>
      <w:spacing w:after="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10">
    <w:name w:val="footer"/>
    <w:basedOn w:val="1"/>
    <w:link w:val="28"/>
    <w:unhideWhenUsed/>
    <w:qFormat/>
    <w:uiPriority w:val="99"/>
    <w:pPr>
      <w:tabs>
        <w:tab w:val="center" w:pos="4252"/>
        <w:tab w:val="right" w:pos="8504"/>
      </w:tabs>
      <w:spacing w:after="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11">
    <w:name w:val="toc 3"/>
    <w:basedOn w:val="1"/>
    <w:next w:val="1"/>
    <w:semiHidden/>
    <w:unhideWhenUsed/>
    <w:qFormat/>
    <w:uiPriority w:val="39"/>
    <w:pPr>
      <w:tabs>
        <w:tab w:val="right" w:leader="dot" w:pos="8505"/>
      </w:tabs>
      <w:spacing w:after="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12">
    <w:name w:val="Balloon Text"/>
    <w:basedOn w:val="1"/>
    <w:link w:val="23"/>
    <w:semiHidden/>
    <w:unhideWhenUsed/>
    <w:qFormat/>
    <w:uiPriority w:val="99"/>
    <w:pPr>
      <w:spacing w:after="0"/>
    </w:pPr>
    <w:rPr>
      <w:rFonts w:ascii="Tahoma" w:hAnsi="Tahoma" w:eastAsia="Times New Roman" w:cs="Tahoma"/>
      <w:sz w:val="16"/>
      <w:szCs w:val="16"/>
      <w:lang w:eastAsia="pt-BR"/>
    </w:rPr>
  </w:style>
  <w:style w:type="paragraph" w:styleId="13">
    <w:name w:val="toc 1"/>
    <w:basedOn w:val="1"/>
    <w:next w:val="1"/>
    <w:semiHidden/>
    <w:unhideWhenUsed/>
    <w:qFormat/>
    <w:uiPriority w:val="39"/>
    <w:pPr>
      <w:tabs>
        <w:tab w:val="right" w:leader="dot" w:pos="8505"/>
      </w:tabs>
      <w:spacing w:after="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15">
    <w:name w:val="Strong"/>
    <w:qFormat/>
    <w:uiPriority w:val="22"/>
    <w:rPr>
      <w:b/>
      <w:bCs/>
    </w:rPr>
  </w:style>
  <w:style w:type="character" w:styleId="16">
    <w:name w:val="Hyperlink"/>
    <w:semiHidden/>
    <w:unhideWhenUsed/>
    <w:qFormat/>
    <w:uiPriority w:val="99"/>
    <w:rPr>
      <w:color w:val="0000FF"/>
      <w:u w:val="single"/>
    </w:rPr>
  </w:style>
  <w:style w:type="table" w:styleId="18">
    <w:name w:val="Table Grid"/>
    <w:basedOn w:val="17"/>
    <w:qFormat/>
    <w:uiPriority w:val="59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Título 1 Char"/>
    <w:basedOn w:val="14"/>
    <w:link w:val="2"/>
    <w:qFormat/>
    <w:uiPriority w:val="9"/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character" w:customStyle="1" w:styleId="20">
    <w:name w:val="Título 3 Char"/>
    <w:basedOn w:val="14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4"/>
      <w:szCs w:val="24"/>
      <w:lang w:eastAsia="pt-BR"/>
      <w14:textFill>
        <w14:solidFill>
          <w14:schemeClr w14:val="accent1"/>
        </w14:solidFill>
      </w14:textFill>
    </w:rPr>
  </w:style>
  <w:style w:type="character" w:customStyle="1" w:styleId="21">
    <w:name w:val="Corpo de texto Char"/>
    <w:basedOn w:val="14"/>
    <w:link w:val="5"/>
    <w:qFormat/>
    <w:uiPriority w:val="0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22">
    <w:name w:val="List Paragraph"/>
    <w:basedOn w:val="1"/>
    <w:qFormat/>
    <w:uiPriority w:val="34"/>
    <w:pPr>
      <w:spacing w:after="0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23">
    <w:name w:val="Texto de balão Char"/>
    <w:basedOn w:val="14"/>
    <w:link w:val="12"/>
    <w:semiHidden/>
    <w:qFormat/>
    <w:uiPriority w:val="99"/>
    <w:rPr>
      <w:rFonts w:ascii="Tahoma" w:hAnsi="Tahoma" w:eastAsia="Times New Roman" w:cs="Tahoma"/>
      <w:sz w:val="16"/>
      <w:szCs w:val="16"/>
      <w:lang w:eastAsia="pt-BR"/>
    </w:rPr>
  </w:style>
  <w:style w:type="character" w:customStyle="1" w:styleId="24">
    <w:name w:val="Corpo de texto 2 Char"/>
    <w:basedOn w:val="14"/>
    <w:link w:val="8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25">
    <w:name w:val="Recuo de corpo de texto 2 Char"/>
    <w:basedOn w:val="14"/>
    <w:link w:val="6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customStyle="1" w:styleId="26">
    <w:name w:val="Default"/>
    <w:qFormat/>
    <w:uiPriority w:val="0"/>
    <w:pPr>
      <w:autoSpaceDE w:val="0"/>
      <w:autoSpaceDN w:val="0"/>
      <w:adjustRightInd w:val="0"/>
      <w:spacing w:after="0"/>
    </w:pPr>
    <w:rPr>
      <w:rFonts w:ascii="Verdana" w:hAnsi="Verdana" w:cs="Verdana" w:eastAsiaTheme="minorHAnsi"/>
      <w:color w:val="000000"/>
      <w:sz w:val="24"/>
      <w:szCs w:val="24"/>
      <w:lang w:val="pt-BR" w:eastAsia="en-US" w:bidi="ar-SA"/>
    </w:rPr>
  </w:style>
  <w:style w:type="character" w:customStyle="1" w:styleId="27">
    <w:name w:val="Cabeçalho Char"/>
    <w:basedOn w:val="14"/>
    <w:link w:val="9"/>
    <w:qFormat/>
    <w:uiPriority w:val="99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28">
    <w:name w:val="Rodapé Char"/>
    <w:basedOn w:val="14"/>
    <w:link w:val="10"/>
    <w:qFormat/>
    <w:uiPriority w:val="99"/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5858</Words>
  <Characters>31638</Characters>
  <Lines>263</Lines>
  <Paragraphs>74</Paragraphs>
  <TotalTime>23</TotalTime>
  <ScaleCrop>false</ScaleCrop>
  <LinksUpToDate>false</LinksUpToDate>
  <CharactersWithSpaces>37422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2019-01-17T17:43:00Z</dcterms:created>
  <dc:creator>eliane</dc:creator>
  <cp:lastModifiedBy>Usuario</cp:lastModifiedBy>
  <cp:lastPrinted>2020-08-25T13:48:00Z</cp:lastPrinted>
  <dcterms:modified xsi:type="dcterms:W3CDTF">2020-10-05T12:53:10Z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1046-11.2.0.9684</vt:lpwstr>
  </property>
</Properties>
</file>